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A6" w:rsidRPr="00B94F30" w:rsidRDefault="00D27708" w:rsidP="00461EA6">
      <w:pPr>
        <w:rPr>
          <w:sz w:val="22"/>
        </w:rPr>
      </w:pPr>
      <w:r w:rsidRPr="00B94F30">
        <w:rPr>
          <w:sz w:val="22"/>
        </w:rPr>
        <w:t xml:space="preserve">                                                                  </w:t>
      </w:r>
      <w:r w:rsidR="00B01B6C" w:rsidRPr="00B94F30">
        <w:rPr>
          <w:sz w:val="22"/>
        </w:rPr>
        <w:t xml:space="preserve">        </w:t>
      </w:r>
      <w:r w:rsidR="00B94F30">
        <w:rPr>
          <w:sz w:val="22"/>
        </w:rPr>
        <w:t xml:space="preserve">  </w:t>
      </w:r>
      <w:r w:rsidR="00B01B6C" w:rsidRPr="00B94F30">
        <w:rPr>
          <w:sz w:val="22"/>
        </w:rPr>
        <w:t xml:space="preserve">   </w:t>
      </w:r>
      <w:r w:rsidR="00B94F30">
        <w:rPr>
          <w:sz w:val="22"/>
        </w:rPr>
        <w:t xml:space="preserve"> </w:t>
      </w:r>
      <w:r w:rsidRPr="00B94F30">
        <w:rPr>
          <w:sz w:val="22"/>
        </w:rPr>
        <w:t>PATVIRTINTA</w:t>
      </w:r>
    </w:p>
    <w:p w:rsidR="00B94F30" w:rsidRPr="00B94F30" w:rsidRDefault="00B94F30" w:rsidP="00461EA6">
      <w:pPr>
        <w:rPr>
          <w:sz w:val="22"/>
        </w:rPr>
      </w:pPr>
      <w:r w:rsidRPr="00B94F30">
        <w:rPr>
          <w:sz w:val="22"/>
        </w:rPr>
        <w:t xml:space="preserve">                                                            </w:t>
      </w:r>
      <w:r>
        <w:rPr>
          <w:sz w:val="22"/>
        </w:rPr>
        <w:t xml:space="preserve">                  </w:t>
      </w:r>
      <w:r w:rsidRPr="00B94F30">
        <w:rPr>
          <w:sz w:val="22"/>
        </w:rPr>
        <w:t xml:space="preserve"> </w:t>
      </w:r>
      <w:r>
        <w:rPr>
          <w:sz w:val="22"/>
        </w:rPr>
        <w:t xml:space="preserve"> </w:t>
      </w:r>
      <w:r w:rsidRPr="00B94F30">
        <w:rPr>
          <w:sz w:val="22"/>
        </w:rPr>
        <w:t xml:space="preserve"> Sedos Vytauto Mačernio gimnazijos</w:t>
      </w:r>
    </w:p>
    <w:p w:rsidR="00B94F30" w:rsidRPr="00B94F30" w:rsidRDefault="00B94F30" w:rsidP="00461EA6">
      <w:pPr>
        <w:rPr>
          <w:sz w:val="22"/>
        </w:rPr>
      </w:pPr>
      <w:r w:rsidRPr="00B94F30">
        <w:rPr>
          <w:sz w:val="22"/>
        </w:rPr>
        <w:t xml:space="preserve">                                                            </w:t>
      </w:r>
      <w:r>
        <w:rPr>
          <w:sz w:val="22"/>
        </w:rPr>
        <w:t xml:space="preserve">                     </w:t>
      </w:r>
      <w:r w:rsidRPr="00B94F30">
        <w:rPr>
          <w:sz w:val="22"/>
        </w:rPr>
        <w:t>direktoriaus 2017 m. rugsėjo 1 d. įsakymu Nr. V1-50-1</w:t>
      </w:r>
    </w:p>
    <w:p w:rsidR="00B01B6C" w:rsidRPr="00B94F30" w:rsidRDefault="00B01B6C" w:rsidP="00B94F30">
      <w:pPr>
        <w:jc w:val="both"/>
        <w:rPr>
          <w:sz w:val="22"/>
          <w:lang w:val="en-US"/>
        </w:rPr>
      </w:pPr>
      <w:r w:rsidRPr="00B94F30">
        <w:rPr>
          <w:sz w:val="22"/>
          <w:lang w:val="en-US"/>
        </w:rPr>
        <w:t xml:space="preserve">                                                                    </w:t>
      </w:r>
      <w:r w:rsidR="00B94F30" w:rsidRPr="00B94F30">
        <w:rPr>
          <w:sz w:val="22"/>
          <w:lang w:val="en-US"/>
        </w:rPr>
        <w:t xml:space="preserve">  </w:t>
      </w:r>
      <w:r w:rsidRPr="00B94F30">
        <w:rPr>
          <w:sz w:val="22"/>
          <w:lang w:val="en-US"/>
        </w:rPr>
        <w:t xml:space="preserve"> </w:t>
      </w:r>
    </w:p>
    <w:p w:rsidR="00D27708" w:rsidRDefault="00D27708" w:rsidP="00461EA6"/>
    <w:p w:rsidR="00461EA6" w:rsidRDefault="00D27708" w:rsidP="00D27708">
      <w:pPr>
        <w:jc w:val="center"/>
      </w:pPr>
      <w:r>
        <w:t>SEDOS VYTAUTO MAČERNIO GIMNAZIJA</w:t>
      </w:r>
    </w:p>
    <w:p w:rsidR="00461EA6" w:rsidRDefault="00461EA6" w:rsidP="008D1469">
      <w:pPr>
        <w:jc w:val="center"/>
      </w:pPr>
      <w:r>
        <w:t>MOKINIŲ PAŽANGOS IR PASIEKIMŲ VERTINIMO TVARKOS APRAŠAS</w:t>
      </w:r>
    </w:p>
    <w:p w:rsidR="008D1469" w:rsidRDefault="008D1469" w:rsidP="008D1469">
      <w:pPr>
        <w:jc w:val="center"/>
      </w:pPr>
    </w:p>
    <w:p w:rsidR="00461EA6" w:rsidRDefault="00461EA6" w:rsidP="008425F5">
      <w:pPr>
        <w:jc w:val="center"/>
      </w:pPr>
      <w:r>
        <w:t>I. BENDROSIOS NUOSTATOS</w:t>
      </w:r>
    </w:p>
    <w:p w:rsidR="00A561F2" w:rsidRPr="009314F2" w:rsidRDefault="00F906BC" w:rsidP="00A561F2">
      <w:pPr>
        <w:pStyle w:val="prastasiniatinklio"/>
        <w:rPr>
          <w:rStyle w:val="Grietas"/>
          <w:rFonts w:ascii="Verdana" w:hAnsi="Verdana"/>
          <w:color w:val="auto"/>
          <w:sz w:val="21"/>
          <w:szCs w:val="21"/>
        </w:rPr>
      </w:pPr>
      <w:r>
        <w:rPr>
          <w:rStyle w:val="Grietas"/>
          <w:rFonts w:ascii="Verdana" w:hAnsi="Verdana"/>
          <w:b w:val="0"/>
          <w:color w:val="auto"/>
          <w:sz w:val="21"/>
          <w:szCs w:val="21"/>
        </w:rPr>
        <w:t xml:space="preserve">   </w:t>
      </w:r>
      <w:r w:rsidR="00A561F2" w:rsidRPr="00B94F30">
        <w:rPr>
          <w:rStyle w:val="Grietas"/>
          <w:rFonts w:ascii="Verdana" w:hAnsi="Verdana"/>
          <w:b w:val="0"/>
          <w:color w:val="auto"/>
          <w:sz w:val="21"/>
          <w:szCs w:val="21"/>
        </w:rPr>
        <w:t>1.</w:t>
      </w:r>
      <w:r w:rsidR="00A561F2" w:rsidRPr="009314F2">
        <w:rPr>
          <w:rStyle w:val="Grietas"/>
          <w:rFonts w:ascii="Verdana" w:hAnsi="Verdana"/>
          <w:color w:val="auto"/>
          <w:sz w:val="21"/>
          <w:szCs w:val="21"/>
        </w:rPr>
        <w:t xml:space="preserve"> </w:t>
      </w:r>
      <w:r w:rsidR="00A561F2" w:rsidRPr="009314F2">
        <w:rPr>
          <w:color w:val="auto"/>
        </w:rPr>
        <w:t>Gimnazijos mokinių pažangos ir pasiekimų vertinimo tvarkos aprašas  (toliau –Aprašas) reglamentuoja mokinių mokymosi pažangos ir pasiekimų vertinimą, įsivertinimą, kontrolinių darbų krūvį ir tvarką, tėvų (globėjų, rūpintojų) informavimą apie mokinių mokymosi sėkmingumą ir pažangą.</w:t>
      </w:r>
    </w:p>
    <w:p w:rsidR="00A561F2" w:rsidRPr="00E658B7" w:rsidRDefault="00A561F2" w:rsidP="00A561F2">
      <w:pPr>
        <w:pStyle w:val="prastasiniatinklio"/>
        <w:rPr>
          <w:color w:val="auto"/>
        </w:rPr>
      </w:pPr>
      <w:r w:rsidRPr="00E658B7">
        <w:rPr>
          <w:rStyle w:val="Grietas"/>
          <w:color w:val="auto"/>
        </w:rPr>
        <w:t>Vertinimo tvarką reglamentuojantys dokumentai:</w:t>
      </w:r>
    </w:p>
    <w:p w:rsidR="00A561F2" w:rsidRPr="009314F2" w:rsidRDefault="00A561F2" w:rsidP="00A561F2">
      <w:pPr>
        <w:pStyle w:val="prastasiniatinklio"/>
        <w:jc w:val="both"/>
        <w:rPr>
          <w:color w:val="auto"/>
        </w:rPr>
      </w:pPr>
      <w:r w:rsidRPr="009314F2">
        <w:rPr>
          <w:color w:val="auto"/>
        </w:rPr>
        <w:t>1.1. Lietuvos Respublikos švietimo įstatymas (2011 m. kovo 17 d. Nr. XI-1281).</w:t>
      </w:r>
    </w:p>
    <w:p w:rsidR="00A561F2" w:rsidRPr="009314F2" w:rsidRDefault="00A561F2" w:rsidP="00A561F2">
      <w:pPr>
        <w:pStyle w:val="prastasiniatinklio"/>
        <w:jc w:val="both"/>
        <w:rPr>
          <w:color w:val="auto"/>
        </w:rPr>
      </w:pPr>
      <w:r w:rsidRPr="009314F2">
        <w:rPr>
          <w:color w:val="auto"/>
        </w:rPr>
        <w:t>1.2. Bendrojo lavinimo ugdymo turinio formavimo, vertinimo, atnaujinimo ir diegimo strategija, patvirtinta Lietuvos Respublikos švietimo ir mokslo ministro 2007 m. gegužės 23 d. įsakymu Nr. ISAK-970.</w:t>
      </w:r>
    </w:p>
    <w:p w:rsidR="00A561F2" w:rsidRPr="009314F2" w:rsidRDefault="00A561F2" w:rsidP="00A561F2">
      <w:pPr>
        <w:pStyle w:val="prastasiniatinklio"/>
        <w:jc w:val="both"/>
        <w:rPr>
          <w:color w:val="auto"/>
        </w:rPr>
      </w:pPr>
      <w:r w:rsidRPr="009314F2">
        <w:rPr>
          <w:color w:val="auto"/>
        </w:rPr>
        <w:t>1.3. „Pradinio, pagrindinio ir vidurinio ugdymo programų aprašas“, patvirtintas Lietuvos Respublikos švietimo ir mokslo ministro 2015 m. gruodžio 21 d. įsakymu Nr. V-1309.</w:t>
      </w:r>
    </w:p>
    <w:p w:rsidR="00A561F2" w:rsidRPr="009314F2" w:rsidRDefault="00F906BC" w:rsidP="00A561F2">
      <w:pPr>
        <w:pStyle w:val="prastasiniatinklio"/>
        <w:jc w:val="both"/>
        <w:rPr>
          <w:color w:val="auto"/>
        </w:rPr>
      </w:pPr>
      <w:r>
        <w:rPr>
          <w:color w:val="auto"/>
        </w:rPr>
        <w:t>1</w:t>
      </w:r>
      <w:r w:rsidR="00A561F2" w:rsidRPr="009314F2">
        <w:rPr>
          <w:color w:val="auto"/>
        </w:rPr>
        <w:t>.4. „Pradinio ir pagrindinio ugdymo bendrosios programos“, patvirtintos Lietuvos Respublikos švietimo ir mokslo ministro 2008 m. rugpjūčio 26 d. įsakymu Nr. ISAK-2433.</w:t>
      </w:r>
    </w:p>
    <w:p w:rsidR="00A561F2" w:rsidRPr="009314F2" w:rsidRDefault="00A561F2" w:rsidP="00A561F2">
      <w:pPr>
        <w:pStyle w:val="prastasiniatinklio"/>
        <w:jc w:val="both"/>
        <w:rPr>
          <w:color w:val="auto"/>
        </w:rPr>
      </w:pPr>
      <w:r w:rsidRPr="009314F2">
        <w:rPr>
          <w:color w:val="auto"/>
        </w:rPr>
        <w:t>1.5. Lietuvių kalbos pradinio ugdymo bendroji programa patvirtinta Lietuvos Respublikos švietimo ir mokslo ministro įsakymu 2016 m. sausio 25 d. Nr. V-46.</w:t>
      </w:r>
    </w:p>
    <w:p w:rsidR="00A561F2" w:rsidRPr="009314F2" w:rsidRDefault="00A561F2" w:rsidP="00A561F2">
      <w:pPr>
        <w:pStyle w:val="prastasiniatinklio"/>
        <w:jc w:val="both"/>
        <w:rPr>
          <w:color w:val="auto"/>
        </w:rPr>
      </w:pPr>
      <w:r w:rsidRPr="009314F2">
        <w:rPr>
          <w:color w:val="auto"/>
        </w:rPr>
        <w:t>1.6. Lietuvių kalbos ir literatūros pagrindinio ugdymo bendroji programa patvirtinta Lietuvos Respublikos švietimo ir mokslo ministro įsakymu 2016 m. sausio 25 d. Nr. V-46.</w:t>
      </w:r>
    </w:p>
    <w:p w:rsidR="00A561F2" w:rsidRPr="009314F2" w:rsidRDefault="00A561F2" w:rsidP="00A561F2">
      <w:pPr>
        <w:pStyle w:val="prastasiniatinklio"/>
        <w:jc w:val="both"/>
        <w:rPr>
          <w:color w:val="auto"/>
        </w:rPr>
      </w:pPr>
      <w:r w:rsidRPr="009314F2">
        <w:rPr>
          <w:color w:val="auto"/>
        </w:rPr>
        <w:t>1.7. „2017–2018 ir 2018–2019 mokslo metų pradinio ugdymo programos bendrojo ugdymo planas, patvirtintas Lietuvos Respublikos švietimo ir mokslo ministro 2017 m. birželio 2 d. įsakymu Nr. V-446“.</w:t>
      </w:r>
    </w:p>
    <w:p w:rsidR="00A561F2" w:rsidRPr="009314F2" w:rsidRDefault="00A561F2" w:rsidP="00A561F2">
      <w:pPr>
        <w:pStyle w:val="prastasiniatinklio"/>
        <w:jc w:val="both"/>
        <w:rPr>
          <w:color w:val="auto"/>
        </w:rPr>
      </w:pPr>
      <w:r w:rsidRPr="009314F2">
        <w:rPr>
          <w:color w:val="auto"/>
        </w:rPr>
        <w:t>1.8. „2017–2018 ir 2018–2019 mokslo metų pagrindinio ir vidurinio ugdymo programų bendrųjų ugdymo planas, patvirtintas 2017 m. birželio 2 d.  įsakymu Nr. V-442“.</w:t>
      </w:r>
    </w:p>
    <w:p w:rsidR="00A561F2" w:rsidRPr="009314F2" w:rsidRDefault="00A561F2" w:rsidP="00A561F2">
      <w:pPr>
        <w:pStyle w:val="prastasiniatinklio"/>
        <w:jc w:val="both"/>
        <w:rPr>
          <w:color w:val="auto"/>
        </w:rPr>
      </w:pPr>
      <w:r w:rsidRPr="009314F2">
        <w:rPr>
          <w:color w:val="auto"/>
        </w:rPr>
        <w:t>1.9. „Nuosekliojo mokymosi pagal bendrojo lavinimo programas tvarkos aprašas”, atvirtintas 2005 m. balandžio 5 d. Nr. ISAK-556.</w:t>
      </w:r>
    </w:p>
    <w:p w:rsidR="00A561F2" w:rsidRPr="009314F2" w:rsidRDefault="00A561F2" w:rsidP="00A561F2">
      <w:pPr>
        <w:pStyle w:val="prastasiniatinklio"/>
        <w:jc w:val="both"/>
        <w:rPr>
          <w:color w:val="auto"/>
        </w:rPr>
      </w:pPr>
      <w:r w:rsidRPr="009314F2">
        <w:rPr>
          <w:color w:val="auto"/>
        </w:rPr>
        <w:t>1.10. Įsakymas V-554 2017-07-04 ,,Dėl švietimo ir mokslo ministro 2005 m. balandžio 5 d. įsakymo Nr. ISAK-556 „Dėl Nuosekliojo mokymosi pagal bendrojo ugdymo programas tvarkos aprašo patvirtinimo“ pakeitimo.</w:t>
      </w:r>
    </w:p>
    <w:p w:rsidR="00A561F2" w:rsidRPr="009314F2" w:rsidRDefault="00A561F2" w:rsidP="00A561F2">
      <w:pPr>
        <w:pStyle w:val="prastasiniatinklio"/>
        <w:jc w:val="both"/>
        <w:rPr>
          <w:color w:val="auto"/>
        </w:rPr>
      </w:pPr>
      <w:r w:rsidRPr="009314F2">
        <w:rPr>
          <w:color w:val="auto"/>
        </w:rPr>
        <w:t>1.11. Įsakymas „Dėl švietimo ir mokslo ministro 2005</w:t>
      </w:r>
      <w:r w:rsidR="00F663F6">
        <w:rPr>
          <w:color w:val="auto"/>
        </w:rPr>
        <w:t xml:space="preserve"> m. balandžio 5 d. įsakymo Nr. Į</w:t>
      </w:r>
      <w:r w:rsidRPr="009314F2">
        <w:rPr>
          <w:color w:val="auto"/>
        </w:rPr>
        <w:t>sak-556 „Dėl nuosekliojo mokymosi pagal bendrojo ugdymo programas tvarkos aprašo patvirtinimo“ pakeitimo“ 2017 m. vasario 13 d. Nr. V-78.</w:t>
      </w:r>
    </w:p>
    <w:p w:rsidR="00A561F2" w:rsidRPr="009314F2" w:rsidRDefault="00A561F2" w:rsidP="00A561F2">
      <w:pPr>
        <w:pStyle w:val="prastasiniatinklio"/>
        <w:jc w:val="both"/>
        <w:rPr>
          <w:color w:val="auto"/>
        </w:rPr>
      </w:pPr>
      <w:r w:rsidRPr="009314F2">
        <w:rPr>
          <w:color w:val="auto"/>
        </w:rPr>
        <w:t>1.12. Geros mokyklos koncepcija, patvirtinta Lietuvos Respublikos švietimo ir mokslo ministro 2015 m. gruodžio 21 d. įsakymu Nr. V-1308 „Dėl Geros mokyklos koncepcijos patvirtinimo“.</w:t>
      </w:r>
    </w:p>
    <w:p w:rsidR="00461EA6" w:rsidRPr="009314F2" w:rsidRDefault="00461EA6" w:rsidP="00461EA6">
      <w:r w:rsidRPr="009314F2">
        <w:t xml:space="preserve">redakcija) </w:t>
      </w:r>
    </w:p>
    <w:p w:rsidR="00461EA6" w:rsidRDefault="00461EA6" w:rsidP="00461EA6">
      <w:r>
        <w:t xml:space="preserve">         2. Apraše aptariami vertinimo tikslai, principai ir nuostatos, vertinimas ugdymo procese bei baigus programą ar jos dalį, ve</w:t>
      </w:r>
      <w:r w:rsidR="00D27708">
        <w:t>rtinimo dalyviai ir jų vaidmuo.</w:t>
      </w:r>
    </w:p>
    <w:p w:rsidR="00A561F2" w:rsidRDefault="00461EA6" w:rsidP="00F7100C">
      <w:r>
        <w:lastRenderedPageBreak/>
        <w:t xml:space="preserve">      </w:t>
      </w:r>
    </w:p>
    <w:p w:rsidR="00F906BC" w:rsidRDefault="00461EA6" w:rsidP="00F7100C">
      <w:r>
        <w:t xml:space="preserve">   3</w:t>
      </w:r>
      <w:r w:rsidRPr="009314F2">
        <w:t>. Apraše vartojamos sąvokos:</w:t>
      </w:r>
    </w:p>
    <w:p w:rsidR="00F906BC" w:rsidRDefault="00461EA6" w:rsidP="00F7100C">
      <w:r>
        <w:t>3.1. Mokinių pasiekimų ir pažangos vertinimas – kriterijais grįstas ugdymosi ir mokymosi stebėjimas ir grįžtamasis ryšys, informacijos apie mokymosi procesus ir rezultatus rinkimas ir kaupimas, interpretavimas ir naudojimas mokymo i</w:t>
      </w:r>
      <w:r w:rsidR="00D27708">
        <w:t>r  mokymosi kokybei užtikrinti.</w:t>
      </w:r>
    </w:p>
    <w:p w:rsidR="00F906BC" w:rsidRDefault="00461EA6" w:rsidP="00F7100C">
      <w:r>
        <w:t xml:space="preserve">  3.2. Įvertinimas – vertinimo proceso rezultatas, konkretus sprendimas apie mokinio </w:t>
      </w:r>
      <w:r w:rsidR="00D27708">
        <w:t>pasiekimus ir padarytą pažangą.</w:t>
      </w:r>
    </w:p>
    <w:p w:rsidR="00461EA6" w:rsidRDefault="00461EA6" w:rsidP="00F7100C">
      <w:r>
        <w:t xml:space="preserve">   3.3. Formuojamasis ugdomasis vertinimas – ugdymo(</w:t>
      </w:r>
      <w:proofErr w:type="spellStart"/>
      <w:r>
        <w:t>si</w:t>
      </w:r>
      <w:proofErr w:type="spellEnd"/>
      <w:r>
        <w:t>) procese teikiamas abipusis atsakas, grįžtamasis ryšys, padedantis mokiniui gerinti mokymą(</w:t>
      </w:r>
      <w:proofErr w:type="spellStart"/>
      <w:r>
        <w:t>si</w:t>
      </w:r>
      <w:proofErr w:type="spellEnd"/>
      <w:r>
        <w:t>), nukreipiantis, ką dar reikia išmokti, leidžiantis mokytojui pritaikyti mokymą, s</w:t>
      </w:r>
      <w:r w:rsidR="00D27708">
        <w:t>iekiant kuo geresnių rezultatų.</w:t>
      </w:r>
    </w:p>
    <w:p w:rsidR="00F906BC" w:rsidRDefault="00F906BC" w:rsidP="00F7100C">
      <w:r>
        <w:t xml:space="preserve">  </w:t>
      </w:r>
      <w:r w:rsidR="00461EA6">
        <w:t xml:space="preserve"> 3.4. Įsivertinimas – paties mokinio ugdymosi proceso, pasiekimų ir pažangos stebėjimas, vertinimas ir apmąstymas, nusimatant tolimesni</w:t>
      </w:r>
      <w:r w:rsidR="00D27708">
        <w:t xml:space="preserve">us mokymosi žingsnius.         </w:t>
      </w:r>
    </w:p>
    <w:p w:rsidR="00F906BC" w:rsidRDefault="00D27708" w:rsidP="00F7100C">
      <w:r>
        <w:t xml:space="preserve">   3.5. V</w:t>
      </w:r>
      <w:r w:rsidR="00461EA6">
        <w:t>ertinimo informacija – įvairiais būdais iš įvairių šaltinių surinkta informacija apie mokinio mokymosi patirtį, jo pasiekimus ir daromą pažangą (žinias ir su</w:t>
      </w:r>
      <w:r w:rsidR="009314F2">
        <w:t>pratimą, gebėjimus, nuostatas).</w:t>
      </w:r>
    </w:p>
    <w:p w:rsidR="00D27708" w:rsidRDefault="00D27708" w:rsidP="00F7100C">
      <w:r>
        <w:t xml:space="preserve">  3.6. I</w:t>
      </w:r>
      <w:r w:rsidR="00461EA6">
        <w:t>ndividualios pažangos  vertinimas – vertinimo principas, pagal kurį lyginant dabartinius mokinio pasiekimus su ankstesniaisiais stebi</w:t>
      </w:r>
      <w:r w:rsidR="009314F2">
        <w:t>ma ir vertinama daroma pažanga,</w:t>
      </w:r>
    </w:p>
    <w:p w:rsidR="00461EA6" w:rsidRDefault="00F906BC" w:rsidP="00F7100C">
      <w:r>
        <w:t xml:space="preserve">  </w:t>
      </w:r>
      <w:r w:rsidR="00D27708">
        <w:t>3.7. V</w:t>
      </w:r>
      <w:r w:rsidR="00461EA6">
        <w:t xml:space="preserve">ertinimo kriterijai – mokytojas pagal </w:t>
      </w:r>
      <w:r w:rsidR="00F663F6">
        <w:t xml:space="preserve">pradinio, </w:t>
      </w:r>
      <w:r w:rsidR="00461EA6">
        <w:t>pagrindinio ir vidurinio ugdymo bendrosiose  programose pateiktus apibendrintus kokybinius mokinių žinių, supratimo ir gebėjimų vertinimo aprašus numato mokinių pasiekimų vertinimo lygius (patenkinamas, pagrindinis, auk</w:t>
      </w:r>
      <w:r w:rsidR="009314F2">
        <w:t>štesnysis).</w:t>
      </w:r>
      <w:r w:rsidR="00D27708">
        <w:t xml:space="preserve">   </w:t>
      </w:r>
      <w:r>
        <w:t xml:space="preserve">  </w:t>
      </w:r>
      <w:r w:rsidR="009314F2">
        <w:t>3.8. S</w:t>
      </w:r>
      <w:r w:rsidR="00461EA6">
        <w:t>avivaldis mokymasis – mokymasis, per kurį asmuo savo iniciatyva išsiaiškina mokymosi poreikius, keliasi tikslus, planuojasi mokymąsi, sukuria ar pasirenka mokymosi aplinką bei priemones, sau tinkamas mokymosi strategijas, įsive</w:t>
      </w:r>
      <w:r w:rsidR="009314F2">
        <w:t>rtina pasiekimus ir pažangą.</w:t>
      </w:r>
    </w:p>
    <w:p w:rsidR="00F906BC" w:rsidRDefault="009314F2" w:rsidP="00F7100C">
      <w:pPr>
        <w:spacing w:line="240" w:lineRule="auto"/>
      </w:pPr>
      <w:r>
        <w:t>3.9. K</w:t>
      </w:r>
      <w:r w:rsidR="00461EA6">
        <w:t>aupiamasis vertinimas – tai informacijos apie mokinio mokymosi pasiekimus ir pažangą kaupimas taškais, kreditais ir kt.</w:t>
      </w:r>
      <w:r>
        <w:t>, kurie konvertuojami į pažymį.</w:t>
      </w:r>
    </w:p>
    <w:p w:rsidR="00F906BC" w:rsidRDefault="009314F2" w:rsidP="00F7100C">
      <w:pPr>
        <w:spacing w:line="240" w:lineRule="auto"/>
      </w:pPr>
      <w:r>
        <w:t xml:space="preserve">  3.10. S</w:t>
      </w:r>
      <w:r w:rsidR="00461EA6">
        <w:t>uminis pažymys – tai pažymys, kurį sudaro mokinio mokymosi pasiekimų ir pažangos  įver</w:t>
      </w:r>
      <w:r>
        <w:t>tinimai iš pamokų ciklo, etapo.</w:t>
      </w:r>
    </w:p>
    <w:p w:rsidR="00461EA6" w:rsidRDefault="009314F2" w:rsidP="00461EA6">
      <w:r>
        <w:t xml:space="preserve">  3.11. K</w:t>
      </w:r>
      <w:r w:rsidR="00461EA6">
        <w:t>ontrolinis darbas – žinių, gebėjimų, įgūdžių parodymas arba mokinio žinias, gebėjimus, įgūdžius patikrinantis ir formaliai vertinamas darbas, kuriam atlikti skiriama</w:t>
      </w:r>
      <w:r>
        <w:t xml:space="preserve"> ne mažiau kaip 30 minučių.</w:t>
      </w:r>
    </w:p>
    <w:p w:rsidR="00461EA6" w:rsidRDefault="00F906BC" w:rsidP="00461EA6">
      <w:r>
        <w:t xml:space="preserve"> </w:t>
      </w:r>
      <w:r w:rsidR="009314F2">
        <w:t>3.12. A</w:t>
      </w:r>
      <w:r w:rsidR="00461EA6">
        <w:t xml:space="preserve">tsiskaitymas žodžiu – tai monologo, dialogo, diskusijos, debatų vertinimas, skirtas patikrinti, kaip mokinys geba tiek individualiai, tiek poroje taisyklingai, argumentuotai, įtikinamai reikšti mintis, </w:t>
      </w:r>
      <w:r w:rsidR="009314F2">
        <w:t>apibendrinti savo ir kitų kalbą.</w:t>
      </w:r>
    </w:p>
    <w:p w:rsidR="00A15572" w:rsidRDefault="00D27708" w:rsidP="00461EA6">
      <w:r>
        <w:t xml:space="preserve"> 3.</w:t>
      </w:r>
      <w:r w:rsidR="009314F2">
        <w:t>13. S</w:t>
      </w:r>
      <w:r w:rsidR="00461EA6">
        <w:t xml:space="preserve">avarankiškas darbas – tai atsiskaitymas raštu (žodžių diktantas, testas, pastraipos kūrimas ir kt.), žodžiu, laboratorinis darbas, darbas grupėse, organizuotas iš </w:t>
      </w:r>
      <w:r>
        <w:t>vienos-dviejų pamokų medžiagos.</w:t>
      </w:r>
    </w:p>
    <w:p w:rsidR="00F906BC" w:rsidRDefault="00F906BC" w:rsidP="00461EA6"/>
    <w:p w:rsidR="00F906BC" w:rsidRDefault="00F906BC" w:rsidP="00461EA6"/>
    <w:p w:rsidR="009314F2" w:rsidRDefault="00F906BC" w:rsidP="00461EA6">
      <w:r>
        <w:lastRenderedPageBreak/>
        <w:t xml:space="preserve">      </w:t>
      </w:r>
      <w:r w:rsidR="00461EA6">
        <w:t xml:space="preserve"> 4. Mokyklos ugdymo procese derinamas formuojamasis, diagnostinis </w:t>
      </w:r>
      <w:r w:rsidR="00D27708">
        <w:t>ir apibendrinamasis vertinimas:</w:t>
      </w:r>
    </w:p>
    <w:p w:rsidR="00461EA6" w:rsidRDefault="00F906BC" w:rsidP="00461EA6">
      <w:r>
        <w:t xml:space="preserve"> </w:t>
      </w:r>
      <w:r w:rsidR="00461EA6">
        <w:t>4.1. Diagnostiniu vertinimu nustatomi mokinio pasiekimai ir pažanga, kad būtų galima tikslingai planuoti tolesnį mokymąsi, suteikti mokymosi pagalbą sunkumams įveikti. Mokinio pasiekimų diagnostinis vertinimas mokykloje atliekamas reguliariai, pagal mokymo(</w:t>
      </w:r>
      <w:proofErr w:type="spellStart"/>
      <w:r w:rsidR="00461EA6">
        <w:t>si</w:t>
      </w:r>
      <w:proofErr w:type="spellEnd"/>
      <w:r w:rsidR="00461EA6">
        <w:t>) logiką, aiškius vertinimo kr</w:t>
      </w:r>
      <w:r w:rsidR="00D27708">
        <w:t>iterijus, mokyklos susitarimus.</w:t>
      </w:r>
    </w:p>
    <w:p w:rsidR="00461EA6" w:rsidRDefault="00461EA6" w:rsidP="00461EA6">
      <w:r>
        <w:t xml:space="preserve">  4.2. Formuojamojo vertinimo paskirtis – padėti mokiniui mokytis, teikti ir gauti grįžtamąjį ryšį, stebėti daromą pažangą, suteikti pagalbą laiku, siekian</w:t>
      </w:r>
      <w:r w:rsidR="00D27708">
        <w:t>t pagerinti mokinio pasiekimus.</w:t>
      </w:r>
    </w:p>
    <w:p w:rsidR="00461EA6" w:rsidRDefault="00F906BC" w:rsidP="00461EA6">
      <w:r>
        <w:t xml:space="preserve">  </w:t>
      </w:r>
      <w:r w:rsidR="00461EA6">
        <w:t>4.3. Mokinių pasiekimai baigiantis ugdymo laikotarpiui apibendrinami atsižvelgiant į bendrosiose programose pateiktus mokinių pasiekimų lygių požymių aprašymus ir įvertinami</w:t>
      </w:r>
      <w:r w:rsidR="00F663F6">
        <w:t>:</w:t>
      </w:r>
      <w:r w:rsidR="00461EA6">
        <w:t xml:space="preserve"> </w:t>
      </w:r>
      <w:r>
        <w:t xml:space="preserve">    </w:t>
      </w:r>
      <w:r w:rsidR="00F663F6">
        <w:t xml:space="preserve">1-4 klasėse lygiais: patenkinamas, pagrindinis, aukštesnysis, 5-IV klasėse - </w:t>
      </w:r>
      <w:r w:rsidR="00461EA6">
        <w:t>10 balų sistemos pažymiais ar įrašu „įskaityta“, „neįskaityta“ arba „atleista“. Įrašas „atleista“ įrašomas, jeigu mokinys yra atleistas pagal gydytojo rekomendaciją ir mokyklos direktoriaus įsakymą.</w:t>
      </w:r>
    </w:p>
    <w:p w:rsidR="00461EA6" w:rsidRDefault="00461EA6" w:rsidP="00461EA6"/>
    <w:p w:rsidR="00461EA6" w:rsidRDefault="00461EA6" w:rsidP="009314F2">
      <w:pPr>
        <w:jc w:val="center"/>
      </w:pPr>
      <w:r>
        <w:t>II. VERTINIMO TIKSLAI</w:t>
      </w:r>
    </w:p>
    <w:p w:rsidR="00E658B7" w:rsidRDefault="005901B1" w:rsidP="00461EA6">
      <w:r>
        <w:t xml:space="preserve">   </w:t>
      </w:r>
      <w:r w:rsidR="00461EA6">
        <w:t xml:space="preserve">   5. Vertinimo tikslai: </w:t>
      </w:r>
    </w:p>
    <w:p w:rsidR="00E658B7" w:rsidRDefault="00461EA6" w:rsidP="00461EA6">
      <w:r>
        <w:t>5.1. nustatyti mokinių pasiekimų lygį bei pažangą, išsiaiškinti kiekvieno mokinio stiprybes, ugdymosi poreikius ir kartu su mokiniu bei jo tėvais (globėjais, rūpintojais) priimti sprendimus dėl tolesnio mokymosi žing</w:t>
      </w:r>
      <w:r w:rsidR="008D1469">
        <w:t>snių, mokiniui būtinos pagalbos</w:t>
      </w:r>
      <w:r>
        <w:t>;</w:t>
      </w:r>
    </w:p>
    <w:p w:rsidR="008425F5" w:rsidRDefault="00461EA6" w:rsidP="00461EA6">
      <w:r>
        <w:t xml:space="preserve">  5.2. palaikyti mokymąsi ir teikti savalaikį atsaką (grįžtamąjį ryšį) mokiniams ir mokytojams, gerinant mokymo(</w:t>
      </w:r>
      <w:proofErr w:type="spellStart"/>
      <w:r>
        <w:t>si</w:t>
      </w:r>
      <w:proofErr w:type="spellEnd"/>
      <w:r>
        <w:t>) proceso kokybę;</w:t>
      </w:r>
    </w:p>
    <w:p w:rsidR="00E658B7" w:rsidRDefault="00E658B7" w:rsidP="00461EA6">
      <w:r>
        <w:t xml:space="preserve"> </w:t>
      </w:r>
      <w:r w:rsidR="00461EA6">
        <w:t>5.3. apibendrinti, susumuoti atskiro mokymosi laikotarpio (baigiant pusmetį, mokslo metus) ar mokymosi pagal</w:t>
      </w:r>
      <w:r w:rsidR="004E46EA">
        <w:t xml:space="preserve"> pradinio, </w:t>
      </w:r>
      <w:r w:rsidR="00461EA6">
        <w:t xml:space="preserve"> pagrindinio ar vidurinio ugdymo programą rezultatus ir sertifikuoti;</w:t>
      </w:r>
    </w:p>
    <w:p w:rsidR="00461EA6" w:rsidRDefault="00461EA6" w:rsidP="00461EA6">
      <w:r>
        <w:t xml:space="preserve"> 5.4. vertinti ugdymo kokybę, identifikuoti problemas ir inicijuoti reikalingus sprendimus.</w:t>
      </w:r>
    </w:p>
    <w:p w:rsidR="00461EA6" w:rsidRDefault="00461EA6" w:rsidP="00461EA6"/>
    <w:p w:rsidR="00461EA6" w:rsidRDefault="00461EA6" w:rsidP="00D27708">
      <w:pPr>
        <w:jc w:val="center"/>
      </w:pPr>
      <w:r>
        <w:t>III. VERTINIMO NUOSTATOS IR PRINCIPAI</w:t>
      </w:r>
    </w:p>
    <w:p w:rsidR="00461EA6" w:rsidRDefault="005901B1" w:rsidP="008425F5">
      <w:pPr>
        <w:spacing w:after="0" w:line="360" w:lineRule="auto"/>
        <w:jc w:val="both"/>
      </w:pPr>
      <w:r>
        <w:t xml:space="preserve">  </w:t>
      </w:r>
      <w:r w:rsidR="009314F2">
        <w:t xml:space="preserve"> </w:t>
      </w:r>
      <w:r w:rsidR="008425F5">
        <w:t>6.Vertinimas grindžiamas šiuolaikine mokymosi samprata, amžiaus tarpsnių psichologiniais ypatumais, individualiais mokinio poreikiais. Vertinimas skirtas padėti mokytis – mokinys laiku gauna grįžtamąją informaciją apie savo   mokymosi patirtį, pasiekimus ir pažangą, jis mokosi vertinti ir įsivertinti.</w:t>
      </w:r>
    </w:p>
    <w:p w:rsidR="008425F5" w:rsidRDefault="005901B1" w:rsidP="008425F5">
      <w:r>
        <w:t xml:space="preserve">   </w:t>
      </w:r>
      <w:r w:rsidR="00461EA6">
        <w:t xml:space="preserve"> 7. Vertinama individuali mokinio pažanga – mokinio dabartiniai pasiekimai lyginami su ankstesniais.  Vengiama lyginti mokinių pasiekimus</w:t>
      </w:r>
      <w:r w:rsidR="00D27708">
        <w:t xml:space="preserve"> tarpusavyje.</w:t>
      </w:r>
    </w:p>
    <w:p w:rsidR="00461EA6" w:rsidRDefault="00461EA6" w:rsidP="00461EA6">
      <w:r>
        <w:t xml:space="preserve">  8. </w:t>
      </w:r>
      <w:r w:rsidR="008425F5">
        <w:t>Vertinimas pozityvus ir konstruktyvus – vertinama tai, ką mokinys jau išmoko, nurodomos spragos ir padedama jas ištaisyti.</w:t>
      </w:r>
      <w:r w:rsidR="009F0AC7">
        <w:t xml:space="preserve"> </w:t>
      </w:r>
      <w:r w:rsidR="008425F5">
        <w:t>Vertinimas atviras ir skaidrus – su mokiniais ir tėvais tariamasi dėl vertinimo kriterijų ir procedūrų.</w:t>
      </w:r>
      <w:r w:rsidR="009F0AC7">
        <w:t xml:space="preserve"> </w:t>
      </w:r>
      <w:r w:rsidR="008425F5">
        <w:t xml:space="preserve">Vertinimas objektyvus ir veiksmingas – siekiama kuo didesnio </w:t>
      </w:r>
      <w:r w:rsidR="008425F5">
        <w:lastRenderedPageBreak/>
        <w:t xml:space="preserve">vertinimo </w:t>
      </w:r>
      <w:proofErr w:type="spellStart"/>
      <w:r w:rsidR="008425F5">
        <w:t>validumo</w:t>
      </w:r>
      <w:proofErr w:type="spellEnd"/>
      <w:r w:rsidR="008425F5">
        <w:t xml:space="preserve"> ir </w:t>
      </w:r>
      <w:r w:rsidR="009F0AC7">
        <w:t>patikimumo.</w:t>
      </w:r>
      <w:r w:rsidR="008425F5">
        <w:t xml:space="preserve"> Vertinimas pritaikomas pagal mokinių poreikius ir galias, pasiekimus ir daromą pažangą.</w:t>
      </w:r>
      <w:r w:rsidR="009F0AC7" w:rsidRPr="009F0AC7">
        <w:t xml:space="preserve"> </w:t>
      </w:r>
      <w:r w:rsidR="009F0AC7">
        <w:t xml:space="preserve"> </w:t>
      </w:r>
    </w:p>
    <w:p w:rsidR="00E658B7" w:rsidRDefault="00E658B7" w:rsidP="00461EA6"/>
    <w:p w:rsidR="00E658B7" w:rsidRDefault="00461EA6" w:rsidP="00E658B7">
      <w:pPr>
        <w:jc w:val="center"/>
      </w:pPr>
      <w:r>
        <w:t>IV. VERTINIMAS UGDYMO PROCESE IR BAIGUS PROGRAMĄ</w:t>
      </w:r>
    </w:p>
    <w:p w:rsidR="00B01B6C" w:rsidRPr="00543E45" w:rsidRDefault="005901B1" w:rsidP="00B01B6C">
      <w:pPr>
        <w:pStyle w:val="Default"/>
      </w:pPr>
      <w:r>
        <w:rPr>
          <w:bCs/>
        </w:rPr>
        <w:t xml:space="preserve"> </w:t>
      </w:r>
      <w:r w:rsidR="00E658B7">
        <w:rPr>
          <w:bCs/>
        </w:rPr>
        <w:t xml:space="preserve">  </w:t>
      </w:r>
      <w:r>
        <w:rPr>
          <w:bCs/>
        </w:rPr>
        <w:t xml:space="preserve"> </w:t>
      </w:r>
      <w:r w:rsidR="00B01B6C">
        <w:rPr>
          <w:bCs/>
        </w:rPr>
        <w:t xml:space="preserve">9. </w:t>
      </w:r>
      <w:r w:rsidR="00B01B6C" w:rsidRPr="00B01B6C">
        <w:rPr>
          <w:bCs/>
        </w:rPr>
        <w:t>Vertinant 1-4 klasių mokinių pasiekimus ir pažangą</w:t>
      </w:r>
      <w:r w:rsidR="00B01B6C" w:rsidRPr="00543E45">
        <w:rPr>
          <w:b/>
          <w:bCs/>
        </w:rPr>
        <w:t xml:space="preserve"> </w:t>
      </w:r>
      <w:r w:rsidR="00B01B6C" w:rsidRPr="00543E45">
        <w:t xml:space="preserve">taikomas formuojamasis, diagnostinis, apibendrinamasis vertinimas. </w:t>
      </w:r>
    </w:p>
    <w:p w:rsidR="00B01B6C" w:rsidRPr="00543E45" w:rsidRDefault="00B01B6C" w:rsidP="00B01B6C">
      <w:pPr>
        <w:pStyle w:val="Default"/>
      </w:pPr>
      <w:r w:rsidRPr="00543E45">
        <w:t xml:space="preserve">9.1. Formuojamasis vertinimas atliekamas ugdymo proceso metu, teikiant mokiniui informaciją apie jo mokymąsi ir pažangą, dažniausiai žodžiu (apie 90 %) arba nežodine kalba kai užrašoma į sąsiuvinius, pasitikrinamųjų darbų,  testų lapus. </w:t>
      </w:r>
    </w:p>
    <w:p w:rsidR="00B01B6C" w:rsidRPr="00543E45" w:rsidRDefault="00B01B6C" w:rsidP="00B01B6C">
      <w:pPr>
        <w:pStyle w:val="Default"/>
      </w:pPr>
      <w:r w:rsidRPr="00543E45">
        <w:t>9.2. Diagnostinis vertinimas pagal iš anksto aptartus su mokiniais vertinimo kriterijus atliekamas tam tikro ugdymo(</w:t>
      </w:r>
      <w:proofErr w:type="spellStart"/>
      <w:r w:rsidRPr="00543E45">
        <w:t>si</w:t>
      </w:r>
      <w:proofErr w:type="spellEnd"/>
      <w:r w:rsidRPr="00543E45">
        <w:t>) etapo (temos) pradžioje ir pabaigoje, siekiant diagnozuoti esamą padėtį: nustatyti mokinio pasiekimus ir padarytą pažangą, numatyti tolesnio mokymosi galimybes. Gali būti taikomi įvairūs diagnostinio vertinimo metodai: praktinės, kūrybinės užduotys, kontroliniai, projektiniai darbai, testai</w:t>
      </w:r>
      <w:r w:rsidR="007E1F9A">
        <w:t>.</w:t>
      </w:r>
    </w:p>
    <w:p w:rsidR="00B01B6C" w:rsidRPr="00543E45" w:rsidRDefault="00B01B6C" w:rsidP="00B01B6C">
      <w:pPr>
        <w:pStyle w:val="Default"/>
      </w:pPr>
      <w:r w:rsidRPr="00543E45">
        <w:t xml:space="preserve">9.3. Per dieną neturėtų būti atliekamas daugiau nei vienas diagnostinis darbas. </w:t>
      </w:r>
    </w:p>
    <w:p w:rsidR="00B01B6C" w:rsidRPr="00543E45" w:rsidRDefault="00B01B6C" w:rsidP="00B01B6C">
      <w:pPr>
        <w:pStyle w:val="Default"/>
      </w:pPr>
      <w:r w:rsidRPr="00543E45">
        <w:t>9.4. Pradinių klasių mokinių pažanga ir pasiekimai fiksuojami e-dienyne aprašomuoju būdu.</w:t>
      </w:r>
    </w:p>
    <w:p w:rsidR="00E658B7" w:rsidRDefault="005901B1" w:rsidP="00461EA6">
      <w:r>
        <w:t xml:space="preserve">  </w:t>
      </w:r>
      <w:r w:rsidR="007E1F9A">
        <w:t xml:space="preserve">  </w:t>
      </w:r>
      <w:r w:rsidR="00E658B7">
        <w:t xml:space="preserve">  </w:t>
      </w:r>
      <w:r w:rsidR="007E1F9A">
        <w:t>10</w:t>
      </w:r>
      <w:r w:rsidR="00461EA6">
        <w:t xml:space="preserve">. Mokinių, kurie mokosi pagal pagrindinio ir vidurinio ugdymo programas, pasiekimai ir pažanga vertinami pagal Bendrosiose programose aprašytus pasiekimus. Mokinių žinios ir supratimas, žinių taikymo ir aukštesnieji mąstymo gebėjimai  įvertinami pažymiais (pagal 10 balų vertinimo sistemą), taikant ir kaupiamojo vertinimo ar suminio pažymio principą, arba įrašu „įskaityta“ ar „neįskaityta“:  Mokytojas, taikantis kaupiamąjį vertinimą, turi numatyti įvertinimų konvertavimo į pažymius pagal </w:t>
      </w:r>
      <w:proofErr w:type="spellStart"/>
      <w:r w:rsidR="00461EA6">
        <w:t>deš</w:t>
      </w:r>
      <w:r w:rsidR="00F510D5">
        <w:t>imtbalę</w:t>
      </w:r>
      <w:proofErr w:type="spellEnd"/>
      <w:r w:rsidR="00D27708">
        <w:t xml:space="preserve"> sistemą būdą ir laiką. </w:t>
      </w:r>
    </w:p>
    <w:p w:rsidR="00461EA6" w:rsidRDefault="007E1F9A" w:rsidP="00461EA6">
      <w:r>
        <w:t xml:space="preserve"> 10</w:t>
      </w:r>
      <w:r w:rsidR="00461EA6">
        <w:t>.1. Mokinių privalomųjų, pasirenkamųjų dalykų  pažanga ir pasiekimai bei projektinė veikla vertinama  pažymiais, taikant  ir kaupiamojo vertinimo</w:t>
      </w:r>
      <w:r w:rsidR="00D27708">
        <w:t xml:space="preserve"> arba suminio pažymio principą.</w:t>
      </w:r>
    </w:p>
    <w:p w:rsidR="00461EA6" w:rsidRDefault="007E1F9A" w:rsidP="00461EA6">
      <w:r>
        <w:t>10</w:t>
      </w:r>
      <w:r w:rsidR="00461EA6">
        <w:t>.2. Žmogaus saugos mokymosi pasiekimai vertinami įrašu „įskaityta“ arb</w:t>
      </w:r>
      <w:r w:rsidR="00D27708">
        <w:t xml:space="preserve">a „neįskaityta“.       </w:t>
      </w:r>
    </w:p>
    <w:p w:rsidR="007E1F9A" w:rsidRDefault="007E1F9A" w:rsidP="00461EA6">
      <w:r>
        <w:t>10</w:t>
      </w:r>
      <w:r w:rsidR="00461EA6">
        <w:t xml:space="preserve">.3. Dalykų moduliai III-IV klasėse ir dalykų moduliai I-II klasėse (lietuvių k. ir matematikos, gamtos mokslų) </w:t>
      </w:r>
      <w:r>
        <w:t xml:space="preserve"> vertinami įrašu „įskaityta“ ar „neįskaityta“.</w:t>
      </w:r>
    </w:p>
    <w:p w:rsidR="00461EA6" w:rsidRDefault="007E1F9A" w:rsidP="00461EA6">
      <w:r>
        <w:t>10.4</w:t>
      </w:r>
      <w:r w:rsidR="00461EA6">
        <w:t xml:space="preserve">. Specialiosios medicininės fizinio pajėgumo grupės mokinių pasiekimai kūno kultūros pratybose vertinami įrašu </w:t>
      </w:r>
      <w:r w:rsidR="00D27708">
        <w:t>„įskaityta“ arba „neįskaityta“.</w:t>
      </w:r>
    </w:p>
    <w:p w:rsidR="009F3B83" w:rsidRDefault="009F3B83" w:rsidP="009F3B83">
      <w:pPr>
        <w:ind w:left="-142"/>
      </w:pPr>
      <w:r>
        <w:t xml:space="preserve">        </w:t>
      </w:r>
      <w:r w:rsidR="00461EA6">
        <w:t xml:space="preserve"> 11. Mokinių mokymosi pasiekimai ir pažanga vertinama sistemingai. Kiekvienoje pamokoje taikomas formuojamasis vertinimas. Vertinamos ne tik dalykinės žinios, bet ir bendrosios kompetencijos. Mokinių žinias rekomenduojama vert</w:t>
      </w:r>
      <w:r w:rsidR="00D27708">
        <w:t>inti tokiu dažnumu per pusmetį:</w:t>
      </w:r>
    </w:p>
    <w:p w:rsidR="001C228E" w:rsidRPr="009F3B83" w:rsidRDefault="00461EA6" w:rsidP="009F3B83">
      <w:r>
        <w:t xml:space="preserve"> - jei per pusmetį dalykui skirta 1 savaitinė pamoka, mokinio žinios vertinamos ne mažiau kaip  3 pažymiais;</w:t>
      </w:r>
    </w:p>
    <w:p w:rsidR="00461EA6" w:rsidRPr="001C228E" w:rsidRDefault="00461EA6" w:rsidP="001C228E">
      <w:pPr>
        <w:spacing w:before="100" w:beforeAutospacing="1" w:after="100" w:afterAutospacing="1" w:line="240" w:lineRule="auto"/>
        <w:rPr>
          <w:rFonts w:eastAsia="Times New Roman" w:cs="Times New Roman"/>
          <w:szCs w:val="24"/>
          <w:lang w:val="en-US" w:eastAsia="lt-LT"/>
        </w:rPr>
      </w:pPr>
      <w:r>
        <w:t xml:space="preserve">  - jei 2 savaitinės pamokos, ne mažiau kaip 4 pažymiais;</w:t>
      </w:r>
    </w:p>
    <w:p w:rsidR="00461EA6" w:rsidRDefault="00461EA6" w:rsidP="00461EA6">
      <w:r>
        <w:t xml:space="preserve">   - jei 3 savaitinės pamokos, ne mažiau kaip 5 pažymiais;</w:t>
      </w:r>
    </w:p>
    <w:p w:rsidR="00461EA6" w:rsidRDefault="001C228E" w:rsidP="00461EA6">
      <w:r>
        <w:t xml:space="preserve">   </w:t>
      </w:r>
      <w:r w:rsidR="00461EA6">
        <w:t>- jei 4 savaitinės pamokos, ne mažiau kaip 6 pažymiais;</w:t>
      </w:r>
    </w:p>
    <w:p w:rsidR="001C228E" w:rsidRDefault="001C228E" w:rsidP="00461EA6">
      <w:r>
        <w:t xml:space="preserve">  </w:t>
      </w:r>
      <w:r w:rsidR="00461EA6">
        <w:t xml:space="preserve">  - jei 5 savaitinės pamokos, ne mažiau kaip 7 pažymiais.</w:t>
      </w:r>
    </w:p>
    <w:p w:rsidR="009F3B83" w:rsidRDefault="00461EA6" w:rsidP="00461EA6">
      <w:r>
        <w:lastRenderedPageBreak/>
        <w:t xml:space="preserve">   12. Suminį ar kaupiamąjį pažymį rekomenduojama rašyti už šias veiklas: darbą pamokoje (savarankišką darbą raštu ar žodžiu, darbą grupėje, individualias moki</w:t>
      </w:r>
      <w:r w:rsidR="001C228E">
        <w:t xml:space="preserve">nio pastangas, aktyvumą ir kt.),  namų darbus, projektinį darbą, </w:t>
      </w:r>
      <w:r>
        <w:t>dalyvavimą gimnazijos, miesto renginiuose, akcijose, atstovavimą gimnazi</w:t>
      </w:r>
      <w:r w:rsidR="001C228E">
        <w:t>jai mieste, respublikoje ir kt.</w:t>
      </w:r>
    </w:p>
    <w:p w:rsidR="00461EA6" w:rsidRDefault="00461EA6" w:rsidP="00461EA6">
      <w:r>
        <w:t xml:space="preserve"> 13. Per pusmetį parašyti ne mažiau kaip 1 suminį ar kaupiamąjį pažymį.</w:t>
      </w:r>
    </w:p>
    <w:p w:rsidR="00461EA6" w:rsidRDefault="00461EA6" w:rsidP="00461EA6">
      <w:r>
        <w:t xml:space="preserve"> 14. Mokymosi pasiekimai fiksuojami įrašu arba balu, taikant 10 balų vertinimo sistemą: patenkinami įvertinimai yra 4 - 10 balų, „atleista“ („</w:t>
      </w:r>
      <w:proofErr w:type="spellStart"/>
      <w:r>
        <w:t>atl</w:t>
      </w:r>
      <w:proofErr w:type="spellEnd"/>
      <w:r>
        <w:t>.“), „įskaityta“ („</w:t>
      </w:r>
      <w:proofErr w:type="spellStart"/>
      <w:r>
        <w:t>įsk</w:t>
      </w:r>
      <w:proofErr w:type="spellEnd"/>
      <w:r>
        <w:t>.“); nepatenkinami įvertinimai yra 1 - 3 balai, „neįskaityta“ (</w:t>
      </w:r>
      <w:proofErr w:type="spellStart"/>
      <w:r>
        <w:t>neįsk</w:t>
      </w:r>
      <w:proofErr w:type="spellEnd"/>
      <w:r>
        <w:t xml:space="preserve">.). </w:t>
      </w:r>
    </w:p>
    <w:p w:rsidR="00461EA6" w:rsidRDefault="00A615E1" w:rsidP="00461EA6">
      <w:r>
        <w:t>15</w:t>
      </w:r>
      <w:r w:rsidR="00461EA6">
        <w:t xml:space="preserve">. </w:t>
      </w:r>
      <w:proofErr w:type="spellStart"/>
      <w:r w:rsidR="00461EA6">
        <w:t>Dešimtbalė</w:t>
      </w:r>
      <w:proofErr w:type="spellEnd"/>
      <w:r w:rsidR="00461EA6">
        <w:t xml:space="preserve"> vertinimo skalė pagrindiniame ir viduriniame ugdyme</w:t>
      </w:r>
      <w:r>
        <w:t>:</w:t>
      </w:r>
    </w:p>
    <w:tbl>
      <w:tblPr>
        <w:tblStyle w:val="Lentelstinklelis"/>
        <w:tblW w:w="10207" w:type="dxa"/>
        <w:tblInd w:w="-601" w:type="dxa"/>
        <w:tblLayout w:type="fixed"/>
        <w:tblLook w:val="04A0" w:firstRow="1" w:lastRow="0" w:firstColumn="1" w:lastColumn="0" w:noHBand="0" w:noVBand="1"/>
      </w:tblPr>
      <w:tblGrid>
        <w:gridCol w:w="1560"/>
        <w:gridCol w:w="1701"/>
        <w:gridCol w:w="6946"/>
      </w:tblGrid>
      <w:tr w:rsidR="009F3B83" w:rsidRPr="00543E45" w:rsidTr="009F3B83">
        <w:tc>
          <w:tcPr>
            <w:tcW w:w="1560" w:type="dxa"/>
            <w:tcBorders>
              <w:bottom w:val="single" w:sz="4" w:space="0" w:color="auto"/>
            </w:tcBorders>
          </w:tcPr>
          <w:p w:rsidR="009F3B83" w:rsidRPr="009F3B83" w:rsidRDefault="009F3B83" w:rsidP="00BE4E54">
            <w:pPr>
              <w:spacing w:before="100" w:beforeAutospacing="1" w:after="100" w:afterAutospacing="1"/>
              <w:rPr>
                <w:bCs/>
                <w:sz w:val="22"/>
              </w:rPr>
            </w:pPr>
            <w:r w:rsidRPr="009F3B83">
              <w:rPr>
                <w:bCs/>
                <w:sz w:val="22"/>
              </w:rPr>
              <w:t>Pa</w:t>
            </w:r>
            <w:r>
              <w:rPr>
                <w:bCs/>
                <w:sz w:val="22"/>
              </w:rPr>
              <w:t>s</w:t>
            </w:r>
            <w:r w:rsidRPr="009F3B83">
              <w:rPr>
                <w:bCs/>
                <w:sz w:val="22"/>
              </w:rPr>
              <w:t>iekimų lygis</w:t>
            </w:r>
          </w:p>
        </w:tc>
        <w:tc>
          <w:tcPr>
            <w:tcW w:w="1701" w:type="dxa"/>
          </w:tcPr>
          <w:p w:rsidR="009F3B83" w:rsidRPr="009F3B83" w:rsidRDefault="009F3B83" w:rsidP="00BE4E54">
            <w:pPr>
              <w:pStyle w:val="Default"/>
              <w:rPr>
                <w:sz w:val="22"/>
                <w:szCs w:val="22"/>
              </w:rPr>
            </w:pPr>
            <w:r w:rsidRPr="009F3B83">
              <w:rPr>
                <w:bCs/>
                <w:sz w:val="22"/>
                <w:szCs w:val="22"/>
              </w:rPr>
              <w:t xml:space="preserve">Pažymys </w:t>
            </w:r>
          </w:p>
        </w:tc>
        <w:tc>
          <w:tcPr>
            <w:tcW w:w="6946" w:type="dxa"/>
          </w:tcPr>
          <w:p w:rsidR="009F3B83" w:rsidRPr="009F3B83" w:rsidRDefault="009F3B83" w:rsidP="00BE4E54">
            <w:pPr>
              <w:pStyle w:val="Default"/>
              <w:rPr>
                <w:sz w:val="22"/>
                <w:szCs w:val="22"/>
              </w:rPr>
            </w:pPr>
            <w:r w:rsidRPr="009F3B83">
              <w:rPr>
                <w:bCs/>
                <w:sz w:val="22"/>
                <w:szCs w:val="22"/>
              </w:rPr>
              <w:t xml:space="preserve">                                          Apibūdinimas </w:t>
            </w:r>
          </w:p>
        </w:tc>
      </w:tr>
      <w:tr w:rsidR="009F3B83" w:rsidRPr="00543E45" w:rsidTr="009F3B83">
        <w:tc>
          <w:tcPr>
            <w:tcW w:w="1560" w:type="dxa"/>
            <w:tcBorders>
              <w:top w:val="single" w:sz="4" w:space="0" w:color="auto"/>
              <w:left w:val="single" w:sz="4" w:space="0" w:color="auto"/>
              <w:bottom w:val="nil"/>
              <w:right w:val="single" w:sz="4" w:space="0" w:color="auto"/>
            </w:tcBorders>
          </w:tcPr>
          <w:p w:rsidR="009F3B83" w:rsidRPr="00543E45" w:rsidRDefault="009F3B83" w:rsidP="00BE4E54">
            <w:pPr>
              <w:spacing w:before="100" w:beforeAutospacing="1" w:after="100" w:afterAutospacing="1"/>
              <w:rPr>
                <w:b/>
                <w:bCs/>
                <w:szCs w:val="24"/>
              </w:rPr>
            </w:pPr>
            <w:r w:rsidRPr="00543E45">
              <w:rPr>
                <w:szCs w:val="24"/>
              </w:rPr>
              <w:t>Aukštesnysis</w:t>
            </w:r>
          </w:p>
        </w:tc>
        <w:tc>
          <w:tcPr>
            <w:tcW w:w="1701" w:type="dxa"/>
            <w:tcBorders>
              <w:left w:val="single" w:sz="4" w:space="0" w:color="auto"/>
            </w:tcBorders>
          </w:tcPr>
          <w:p w:rsidR="009F3B83" w:rsidRPr="009F3B83" w:rsidRDefault="009F3B83" w:rsidP="00BE4E54">
            <w:pPr>
              <w:spacing w:before="100" w:beforeAutospacing="1" w:after="100" w:afterAutospacing="1"/>
              <w:rPr>
                <w:bCs/>
                <w:sz w:val="22"/>
              </w:rPr>
            </w:pPr>
            <w:r w:rsidRPr="009F3B83">
              <w:rPr>
                <w:bCs/>
                <w:sz w:val="22"/>
              </w:rPr>
              <w:t>10-puikiai</w:t>
            </w:r>
          </w:p>
        </w:tc>
        <w:tc>
          <w:tcPr>
            <w:tcW w:w="6946" w:type="dxa"/>
          </w:tcPr>
          <w:p w:rsidR="009F3B83" w:rsidRPr="00591786" w:rsidRDefault="009F3B83" w:rsidP="00BE4E54">
            <w:pPr>
              <w:spacing w:before="100" w:beforeAutospacing="1" w:after="100" w:afterAutospacing="1"/>
              <w:rPr>
                <w:b/>
                <w:bCs/>
                <w:sz w:val="22"/>
              </w:rPr>
            </w:pPr>
            <w:r w:rsidRPr="00591786">
              <w:rPr>
                <w:sz w:val="22"/>
              </w:rPr>
              <w:t>Mokinio pasiekimai visiškai atitinka numatomus mokinių pasiekimus. Puikiai atsako į visus klausimus, teisingai atlieka sudėtingas nestandartines užduotis.</w:t>
            </w:r>
          </w:p>
        </w:tc>
      </w:tr>
      <w:tr w:rsidR="009F3B83" w:rsidRPr="00543E45" w:rsidTr="009F3B83">
        <w:tc>
          <w:tcPr>
            <w:tcW w:w="1560" w:type="dxa"/>
            <w:tcBorders>
              <w:top w:val="nil"/>
              <w:left w:val="single" w:sz="4" w:space="0" w:color="auto"/>
              <w:bottom w:val="single" w:sz="4" w:space="0" w:color="auto"/>
              <w:right w:val="single" w:sz="4" w:space="0" w:color="auto"/>
            </w:tcBorders>
          </w:tcPr>
          <w:p w:rsidR="009F3B83" w:rsidRPr="00543E45" w:rsidRDefault="009F3B83" w:rsidP="00BE4E54">
            <w:pPr>
              <w:spacing w:before="100" w:beforeAutospacing="1" w:after="100" w:afterAutospacing="1"/>
              <w:rPr>
                <w:b/>
                <w:bCs/>
                <w:szCs w:val="24"/>
              </w:rPr>
            </w:pPr>
          </w:p>
        </w:tc>
        <w:tc>
          <w:tcPr>
            <w:tcW w:w="1701" w:type="dxa"/>
            <w:tcBorders>
              <w:left w:val="single" w:sz="4" w:space="0" w:color="auto"/>
            </w:tcBorders>
          </w:tcPr>
          <w:p w:rsidR="009F3B83" w:rsidRPr="009F3B83" w:rsidRDefault="009F3B83" w:rsidP="00BE4E54">
            <w:pPr>
              <w:spacing w:before="100" w:beforeAutospacing="1" w:after="100" w:afterAutospacing="1"/>
              <w:rPr>
                <w:bCs/>
                <w:sz w:val="22"/>
              </w:rPr>
            </w:pPr>
            <w:r w:rsidRPr="009F3B83">
              <w:rPr>
                <w:bCs/>
                <w:sz w:val="22"/>
              </w:rPr>
              <w:t>9-labai gerai</w:t>
            </w:r>
          </w:p>
        </w:tc>
        <w:tc>
          <w:tcPr>
            <w:tcW w:w="6946" w:type="dxa"/>
          </w:tcPr>
          <w:p w:rsidR="009F3B83" w:rsidRPr="00591786" w:rsidRDefault="009F3B83" w:rsidP="00BE4E54">
            <w:pPr>
              <w:spacing w:before="100" w:beforeAutospacing="1" w:after="100" w:afterAutospacing="1"/>
              <w:rPr>
                <w:b/>
                <w:bCs/>
                <w:sz w:val="22"/>
              </w:rPr>
            </w:pPr>
            <w:r w:rsidRPr="00591786">
              <w:rPr>
                <w:sz w:val="22"/>
              </w:rPr>
              <w:t>Mokinio pasiekimai atitinka numatomus mokinių pasiekimus. Gerai moka dalyką, lengvai atlieka sudėtingas tipines užduotis.</w:t>
            </w:r>
          </w:p>
        </w:tc>
      </w:tr>
      <w:tr w:rsidR="009F3B83" w:rsidRPr="00543E45" w:rsidTr="009F3B83">
        <w:tc>
          <w:tcPr>
            <w:tcW w:w="1560" w:type="dxa"/>
            <w:tcBorders>
              <w:top w:val="single" w:sz="4" w:space="0" w:color="auto"/>
              <w:left w:val="single" w:sz="4" w:space="0" w:color="auto"/>
              <w:bottom w:val="nil"/>
              <w:right w:val="single" w:sz="4" w:space="0" w:color="auto"/>
            </w:tcBorders>
          </w:tcPr>
          <w:p w:rsidR="009F3B83" w:rsidRPr="00543E45" w:rsidRDefault="009F3B83" w:rsidP="00BE4E54">
            <w:pPr>
              <w:pStyle w:val="Default"/>
            </w:pPr>
            <w:r w:rsidRPr="00543E45">
              <w:t xml:space="preserve">Pagrindinis </w:t>
            </w:r>
          </w:p>
        </w:tc>
        <w:tc>
          <w:tcPr>
            <w:tcW w:w="1701" w:type="dxa"/>
            <w:tcBorders>
              <w:left w:val="single" w:sz="4" w:space="0" w:color="auto"/>
            </w:tcBorders>
          </w:tcPr>
          <w:p w:rsidR="009F3B83" w:rsidRPr="009F3B83" w:rsidRDefault="009F3B83" w:rsidP="00BE4E54">
            <w:pPr>
              <w:spacing w:before="100" w:beforeAutospacing="1" w:after="100" w:afterAutospacing="1"/>
              <w:rPr>
                <w:bCs/>
                <w:sz w:val="22"/>
              </w:rPr>
            </w:pPr>
            <w:r w:rsidRPr="009F3B83">
              <w:rPr>
                <w:bCs/>
                <w:sz w:val="22"/>
              </w:rPr>
              <w:t>8 -gerai</w:t>
            </w:r>
          </w:p>
        </w:tc>
        <w:tc>
          <w:tcPr>
            <w:tcW w:w="6946" w:type="dxa"/>
          </w:tcPr>
          <w:p w:rsidR="009F3B83" w:rsidRPr="00591786" w:rsidRDefault="009F3B83" w:rsidP="00BE4E54">
            <w:pPr>
              <w:pStyle w:val="Default"/>
              <w:rPr>
                <w:sz w:val="22"/>
                <w:szCs w:val="22"/>
              </w:rPr>
            </w:pPr>
            <w:r w:rsidRPr="00591786">
              <w:rPr>
                <w:sz w:val="22"/>
                <w:szCs w:val="22"/>
              </w:rPr>
              <w:t xml:space="preserve">Mokinio pasiekimai atitinka numatomus mokinių pasiekimus. Teisingai atlieka vidutinio sudėtingumo ir sunkesnes užduotis. </w:t>
            </w:r>
          </w:p>
        </w:tc>
      </w:tr>
      <w:tr w:rsidR="009F3B83" w:rsidRPr="00543E45" w:rsidTr="009F3B83">
        <w:tc>
          <w:tcPr>
            <w:tcW w:w="1560" w:type="dxa"/>
            <w:tcBorders>
              <w:top w:val="nil"/>
              <w:left w:val="single" w:sz="4" w:space="0" w:color="auto"/>
              <w:bottom w:val="nil"/>
              <w:right w:val="single" w:sz="4" w:space="0" w:color="auto"/>
            </w:tcBorders>
          </w:tcPr>
          <w:p w:rsidR="009F3B83" w:rsidRPr="00543E45" w:rsidRDefault="009F3B83" w:rsidP="00BE4E54">
            <w:pPr>
              <w:spacing w:before="100" w:beforeAutospacing="1" w:after="100" w:afterAutospacing="1"/>
              <w:rPr>
                <w:b/>
                <w:bCs/>
                <w:szCs w:val="24"/>
              </w:rPr>
            </w:pPr>
          </w:p>
        </w:tc>
        <w:tc>
          <w:tcPr>
            <w:tcW w:w="1701" w:type="dxa"/>
            <w:tcBorders>
              <w:left w:val="single" w:sz="4" w:space="0" w:color="auto"/>
            </w:tcBorders>
          </w:tcPr>
          <w:p w:rsidR="009F3B83" w:rsidRPr="009F3B83" w:rsidRDefault="009F3B83" w:rsidP="00BE4E54">
            <w:pPr>
              <w:spacing w:before="100" w:beforeAutospacing="1" w:after="100" w:afterAutospacing="1"/>
              <w:rPr>
                <w:bCs/>
                <w:sz w:val="22"/>
              </w:rPr>
            </w:pPr>
            <w:r w:rsidRPr="009F3B83">
              <w:rPr>
                <w:bCs/>
                <w:sz w:val="22"/>
              </w:rPr>
              <w:t>7- pakankamai gerai</w:t>
            </w:r>
          </w:p>
        </w:tc>
        <w:tc>
          <w:tcPr>
            <w:tcW w:w="6946" w:type="dxa"/>
          </w:tcPr>
          <w:p w:rsidR="009F3B83" w:rsidRPr="00591786" w:rsidRDefault="009F3B83" w:rsidP="00BE4E54">
            <w:pPr>
              <w:pStyle w:val="Default"/>
              <w:rPr>
                <w:sz w:val="22"/>
                <w:szCs w:val="22"/>
              </w:rPr>
            </w:pPr>
            <w:r w:rsidRPr="00591786">
              <w:rPr>
                <w:sz w:val="22"/>
                <w:szCs w:val="22"/>
              </w:rPr>
              <w:t xml:space="preserve">Mokinio pasiekimai iš dalies atitinka numatomus mokinių pasiekimus. Atsakymai teisingi, be klaidų, bet neišsamūs. Teisingai atlieka vidutinio sunkumo užduotis. </w:t>
            </w:r>
          </w:p>
        </w:tc>
      </w:tr>
      <w:tr w:rsidR="009F3B83" w:rsidRPr="00543E45" w:rsidTr="009F3B83">
        <w:tc>
          <w:tcPr>
            <w:tcW w:w="1560" w:type="dxa"/>
            <w:tcBorders>
              <w:top w:val="nil"/>
              <w:bottom w:val="single" w:sz="4" w:space="0" w:color="auto"/>
            </w:tcBorders>
          </w:tcPr>
          <w:p w:rsidR="009F3B83" w:rsidRPr="00543E45" w:rsidRDefault="009F3B83" w:rsidP="00BE4E54">
            <w:pPr>
              <w:spacing w:before="100" w:beforeAutospacing="1" w:after="100" w:afterAutospacing="1"/>
              <w:rPr>
                <w:b/>
                <w:bCs/>
                <w:szCs w:val="24"/>
              </w:rPr>
            </w:pPr>
          </w:p>
        </w:tc>
        <w:tc>
          <w:tcPr>
            <w:tcW w:w="1701" w:type="dxa"/>
          </w:tcPr>
          <w:p w:rsidR="009F3B83" w:rsidRPr="009F3B83" w:rsidRDefault="009F3B83" w:rsidP="00BE4E54">
            <w:pPr>
              <w:spacing w:before="100" w:beforeAutospacing="1" w:after="100" w:afterAutospacing="1"/>
              <w:rPr>
                <w:bCs/>
                <w:sz w:val="22"/>
              </w:rPr>
            </w:pPr>
            <w:r w:rsidRPr="009F3B83">
              <w:rPr>
                <w:bCs/>
                <w:sz w:val="22"/>
              </w:rPr>
              <w:t>6- vidutiniškai</w:t>
            </w:r>
          </w:p>
        </w:tc>
        <w:tc>
          <w:tcPr>
            <w:tcW w:w="6946" w:type="dxa"/>
          </w:tcPr>
          <w:p w:rsidR="009F3B83" w:rsidRPr="00591786" w:rsidRDefault="009F3B83" w:rsidP="00BE4E54">
            <w:pPr>
              <w:spacing w:before="100" w:beforeAutospacing="1" w:after="100" w:afterAutospacing="1"/>
              <w:rPr>
                <w:b/>
                <w:bCs/>
                <w:sz w:val="22"/>
              </w:rPr>
            </w:pPr>
            <w:r w:rsidRPr="00591786">
              <w:rPr>
                <w:sz w:val="22"/>
              </w:rPr>
              <w:t>Mokinio pasiekimai iš dalies atitinka numatomus mokinių pasiekimus. Atsakymai be esminių klaidų. Teisingai atlieka lengvas užduotis, bet nesuvokia sudėtingesnių</w:t>
            </w:r>
          </w:p>
        </w:tc>
      </w:tr>
      <w:tr w:rsidR="009F3B83" w:rsidRPr="00543E45" w:rsidTr="009F3B83">
        <w:trPr>
          <w:trHeight w:val="776"/>
        </w:trPr>
        <w:tc>
          <w:tcPr>
            <w:tcW w:w="1560" w:type="dxa"/>
            <w:tcBorders>
              <w:top w:val="single" w:sz="4" w:space="0" w:color="auto"/>
              <w:left w:val="single" w:sz="4" w:space="0" w:color="auto"/>
              <w:bottom w:val="nil"/>
              <w:right w:val="single" w:sz="4" w:space="0" w:color="auto"/>
            </w:tcBorders>
          </w:tcPr>
          <w:p w:rsidR="009F3B83" w:rsidRPr="00543E45" w:rsidRDefault="009F3B83" w:rsidP="00BE4E54">
            <w:pPr>
              <w:pStyle w:val="Default"/>
            </w:pPr>
            <w:r w:rsidRPr="00543E45">
              <w:t xml:space="preserve">Patenkinamas </w:t>
            </w:r>
          </w:p>
        </w:tc>
        <w:tc>
          <w:tcPr>
            <w:tcW w:w="1701" w:type="dxa"/>
            <w:tcBorders>
              <w:left w:val="single" w:sz="4" w:space="0" w:color="auto"/>
            </w:tcBorders>
          </w:tcPr>
          <w:p w:rsidR="009F3B83" w:rsidRPr="009F3B83" w:rsidRDefault="009F3B83" w:rsidP="00BE4E54">
            <w:pPr>
              <w:spacing w:before="100" w:beforeAutospacing="1" w:after="100" w:afterAutospacing="1"/>
              <w:rPr>
                <w:bCs/>
                <w:sz w:val="22"/>
              </w:rPr>
            </w:pPr>
            <w:r w:rsidRPr="009F3B83">
              <w:rPr>
                <w:bCs/>
                <w:sz w:val="22"/>
              </w:rPr>
              <w:t>5- patenkinamai</w:t>
            </w:r>
          </w:p>
        </w:tc>
        <w:tc>
          <w:tcPr>
            <w:tcW w:w="6946" w:type="dxa"/>
          </w:tcPr>
          <w:p w:rsidR="009F3B83" w:rsidRPr="00591786" w:rsidRDefault="009F3B83" w:rsidP="00BE4E54">
            <w:pPr>
              <w:spacing w:before="100" w:beforeAutospacing="1" w:after="100" w:afterAutospacing="1"/>
              <w:rPr>
                <w:b/>
                <w:bCs/>
                <w:sz w:val="22"/>
              </w:rPr>
            </w:pPr>
            <w:r w:rsidRPr="00591786">
              <w:rPr>
                <w:sz w:val="22"/>
              </w:rPr>
              <w:t>Mokinio pasiekimai iš dalies atitinka numatomus mokinių pasiekimus. Atsakymuose pasitaiko esminių klaidų. Suvokia tik svarbiausius dalyko klausimus, užduotis atlieka tik mokytojo padedamas.</w:t>
            </w:r>
          </w:p>
        </w:tc>
      </w:tr>
      <w:tr w:rsidR="009F3B83" w:rsidRPr="00543E45" w:rsidTr="009F3B83">
        <w:tc>
          <w:tcPr>
            <w:tcW w:w="1560" w:type="dxa"/>
            <w:tcBorders>
              <w:top w:val="nil"/>
              <w:left w:val="single" w:sz="4" w:space="0" w:color="auto"/>
              <w:bottom w:val="single" w:sz="4" w:space="0" w:color="auto"/>
              <w:right w:val="single" w:sz="4" w:space="0" w:color="auto"/>
            </w:tcBorders>
          </w:tcPr>
          <w:p w:rsidR="009F3B83" w:rsidRPr="00543E45" w:rsidRDefault="009F3B83" w:rsidP="00BE4E54">
            <w:pPr>
              <w:pStyle w:val="Default"/>
            </w:pPr>
          </w:p>
        </w:tc>
        <w:tc>
          <w:tcPr>
            <w:tcW w:w="1701" w:type="dxa"/>
            <w:tcBorders>
              <w:left w:val="single" w:sz="4" w:space="0" w:color="auto"/>
            </w:tcBorders>
          </w:tcPr>
          <w:p w:rsidR="009F3B83" w:rsidRPr="009F3B83" w:rsidRDefault="009F3B83" w:rsidP="00BE4E54">
            <w:pPr>
              <w:spacing w:before="100" w:beforeAutospacing="1" w:after="100" w:afterAutospacing="1"/>
              <w:rPr>
                <w:bCs/>
                <w:sz w:val="22"/>
              </w:rPr>
            </w:pPr>
            <w:r w:rsidRPr="009F3B83">
              <w:rPr>
                <w:bCs/>
                <w:sz w:val="22"/>
              </w:rPr>
              <w:t>4- silpnai</w:t>
            </w:r>
          </w:p>
        </w:tc>
        <w:tc>
          <w:tcPr>
            <w:tcW w:w="6946" w:type="dxa"/>
          </w:tcPr>
          <w:p w:rsidR="009F3B83" w:rsidRPr="00591786" w:rsidRDefault="009F3B83" w:rsidP="00BE4E54">
            <w:pPr>
              <w:spacing w:before="100" w:beforeAutospacing="1" w:after="100" w:afterAutospacing="1"/>
              <w:rPr>
                <w:sz w:val="22"/>
              </w:rPr>
            </w:pPr>
            <w:r w:rsidRPr="00591786">
              <w:rPr>
                <w:sz w:val="22"/>
              </w:rPr>
              <w:t>Mokinio pasiekimai nepakankamai atitinka numatomus mokinių pasiekimus. Sunkiai suvokia dalyko esmę, daro daug klaidų, savarankiškai neatlieka lengvų užduočių.</w:t>
            </w:r>
          </w:p>
        </w:tc>
      </w:tr>
      <w:tr w:rsidR="009F3B83" w:rsidRPr="00543E45" w:rsidTr="009F3B83">
        <w:tc>
          <w:tcPr>
            <w:tcW w:w="1560" w:type="dxa"/>
            <w:tcBorders>
              <w:top w:val="single" w:sz="4" w:space="0" w:color="auto"/>
            </w:tcBorders>
          </w:tcPr>
          <w:p w:rsidR="009F3B83" w:rsidRPr="00543E45" w:rsidRDefault="009F3B83" w:rsidP="00BE4E54">
            <w:pPr>
              <w:pStyle w:val="Default"/>
            </w:pPr>
            <w:r w:rsidRPr="00543E45">
              <w:t xml:space="preserve">Nepatenkinamas </w:t>
            </w:r>
          </w:p>
        </w:tc>
        <w:tc>
          <w:tcPr>
            <w:tcW w:w="1701" w:type="dxa"/>
          </w:tcPr>
          <w:p w:rsidR="009F3B83" w:rsidRPr="009F3B83" w:rsidRDefault="009F3B83" w:rsidP="00BE4E54">
            <w:pPr>
              <w:spacing w:before="100" w:beforeAutospacing="1" w:after="100" w:afterAutospacing="1"/>
              <w:rPr>
                <w:bCs/>
                <w:sz w:val="22"/>
              </w:rPr>
            </w:pPr>
            <w:r w:rsidRPr="009F3B83">
              <w:rPr>
                <w:bCs/>
                <w:sz w:val="22"/>
              </w:rPr>
              <w:t>2-3</w:t>
            </w:r>
            <w:r w:rsidR="00A15572">
              <w:rPr>
                <w:bCs/>
                <w:sz w:val="22"/>
              </w:rPr>
              <w:t xml:space="preserve"> </w:t>
            </w:r>
            <w:r w:rsidRPr="009F3B83">
              <w:rPr>
                <w:bCs/>
                <w:sz w:val="22"/>
              </w:rPr>
              <w:t>nepatenkinamai</w:t>
            </w:r>
          </w:p>
          <w:p w:rsidR="009F3B83" w:rsidRPr="009F3B83" w:rsidRDefault="00A15572" w:rsidP="00BE4E54">
            <w:pPr>
              <w:spacing w:before="100" w:beforeAutospacing="1" w:after="100" w:afterAutospacing="1"/>
              <w:rPr>
                <w:bCs/>
                <w:sz w:val="22"/>
              </w:rPr>
            </w:pPr>
            <w:r>
              <w:rPr>
                <w:bCs/>
                <w:sz w:val="22"/>
              </w:rPr>
              <w:t>1- nepatenkinamai</w:t>
            </w:r>
          </w:p>
        </w:tc>
        <w:tc>
          <w:tcPr>
            <w:tcW w:w="6946" w:type="dxa"/>
          </w:tcPr>
          <w:p w:rsidR="009F3B83" w:rsidRDefault="009F3B83" w:rsidP="00BE4E54">
            <w:pPr>
              <w:spacing w:before="100" w:beforeAutospacing="1" w:after="100" w:afterAutospacing="1"/>
              <w:rPr>
                <w:sz w:val="22"/>
              </w:rPr>
            </w:pPr>
            <w:r w:rsidRPr="00591786">
              <w:rPr>
                <w:sz w:val="22"/>
              </w:rPr>
              <w:t>Mokinio pasiekimai neatitinka numatomų mokinių pasiekimų. Moka tik nedidelę kurso dalį, daro daug esminių klaidų, neturi elementarių įgūdžių</w:t>
            </w:r>
            <w:r w:rsidR="00A15572">
              <w:rPr>
                <w:sz w:val="22"/>
              </w:rPr>
              <w:t>.</w:t>
            </w:r>
          </w:p>
          <w:p w:rsidR="00A15572" w:rsidRPr="00591786" w:rsidRDefault="00A15572" w:rsidP="00BE4E54">
            <w:pPr>
              <w:spacing w:before="100" w:beforeAutospacing="1" w:after="100" w:afterAutospacing="1"/>
              <w:rPr>
                <w:sz w:val="22"/>
              </w:rPr>
            </w:pPr>
            <w:r>
              <w:rPr>
                <w:sz w:val="22"/>
              </w:rPr>
              <w:t>Nepadarė  nieko.</w:t>
            </w:r>
          </w:p>
        </w:tc>
      </w:tr>
    </w:tbl>
    <w:p w:rsidR="00461EA6" w:rsidRDefault="00A615E1" w:rsidP="00461EA6">
      <w:r>
        <w:t>16</w:t>
      </w:r>
      <w:r w:rsidR="00461EA6" w:rsidRPr="00461EA6">
        <w:t>. Mokytojai, rašydami pažymį už darbą, kurio užduotys vertinamos taškais, vadovaujasi šia lentele:</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118"/>
        <w:gridCol w:w="2268"/>
      </w:tblGrid>
      <w:tr w:rsidR="00EC6A47" w:rsidTr="00A15572">
        <w:trPr>
          <w:trHeight w:val="268"/>
        </w:trPr>
        <w:tc>
          <w:tcPr>
            <w:tcW w:w="2693" w:type="dxa"/>
            <w:tcBorders>
              <w:bottom w:val="single" w:sz="4" w:space="0" w:color="auto"/>
            </w:tcBorders>
          </w:tcPr>
          <w:p w:rsidR="00EC6A47" w:rsidRPr="00EC6A47" w:rsidRDefault="00EC6A47">
            <w:pPr>
              <w:pStyle w:val="Default"/>
              <w:rPr>
                <w:bCs/>
              </w:rPr>
            </w:pPr>
            <w:r>
              <w:rPr>
                <w:bCs/>
              </w:rPr>
              <w:t>Pasiekimų lygis</w:t>
            </w:r>
          </w:p>
        </w:tc>
        <w:tc>
          <w:tcPr>
            <w:tcW w:w="3118" w:type="dxa"/>
          </w:tcPr>
          <w:p w:rsidR="00EC6A47" w:rsidRPr="00EC6A47" w:rsidRDefault="00EC6A47">
            <w:pPr>
              <w:pStyle w:val="Default"/>
            </w:pPr>
            <w:r>
              <w:rPr>
                <w:bCs/>
              </w:rPr>
              <w:t>Teisingų atsakymų apimtis (procentais)</w:t>
            </w:r>
          </w:p>
        </w:tc>
        <w:tc>
          <w:tcPr>
            <w:tcW w:w="2268" w:type="dxa"/>
          </w:tcPr>
          <w:p w:rsidR="00EC6A47" w:rsidRPr="00EC6A47" w:rsidRDefault="00EC6A47">
            <w:pPr>
              <w:pStyle w:val="Default"/>
            </w:pPr>
            <w:r>
              <w:rPr>
                <w:bCs/>
              </w:rPr>
              <w:t>Pažymys</w:t>
            </w:r>
          </w:p>
        </w:tc>
      </w:tr>
      <w:tr w:rsidR="00EC6A47" w:rsidTr="00A15572">
        <w:trPr>
          <w:trHeight w:val="109"/>
        </w:trPr>
        <w:tc>
          <w:tcPr>
            <w:tcW w:w="2693" w:type="dxa"/>
            <w:tcBorders>
              <w:top w:val="single" w:sz="4" w:space="0" w:color="auto"/>
              <w:left w:val="single" w:sz="4" w:space="0" w:color="auto"/>
              <w:bottom w:val="nil"/>
              <w:right w:val="single" w:sz="4" w:space="0" w:color="auto"/>
            </w:tcBorders>
          </w:tcPr>
          <w:p w:rsidR="00EC6A47" w:rsidRPr="00EC6A47" w:rsidRDefault="00EC6A47">
            <w:pPr>
              <w:pStyle w:val="Default"/>
            </w:pPr>
            <w:r>
              <w:t>Aukštesnysis</w:t>
            </w:r>
          </w:p>
        </w:tc>
        <w:tc>
          <w:tcPr>
            <w:tcW w:w="3118" w:type="dxa"/>
            <w:tcBorders>
              <w:left w:val="single" w:sz="4" w:space="0" w:color="auto"/>
            </w:tcBorders>
          </w:tcPr>
          <w:p w:rsidR="00EC6A47" w:rsidRPr="00EC6A47" w:rsidRDefault="00EC6A47" w:rsidP="00A15572">
            <w:pPr>
              <w:pStyle w:val="Default"/>
              <w:jc w:val="center"/>
            </w:pPr>
            <w:r w:rsidRPr="00EC6A47">
              <w:t>95-100</w:t>
            </w:r>
          </w:p>
        </w:tc>
        <w:tc>
          <w:tcPr>
            <w:tcW w:w="2268" w:type="dxa"/>
          </w:tcPr>
          <w:p w:rsidR="00EC6A47" w:rsidRPr="00EC6A47" w:rsidRDefault="00EC6A47" w:rsidP="00A15572">
            <w:pPr>
              <w:pStyle w:val="Default"/>
            </w:pPr>
            <w:r w:rsidRPr="00EC6A47">
              <w:t>10</w:t>
            </w:r>
          </w:p>
        </w:tc>
      </w:tr>
      <w:tr w:rsidR="00EC6A47" w:rsidTr="00A15572">
        <w:trPr>
          <w:trHeight w:val="109"/>
        </w:trPr>
        <w:tc>
          <w:tcPr>
            <w:tcW w:w="2693" w:type="dxa"/>
            <w:tcBorders>
              <w:top w:val="nil"/>
              <w:left w:val="single" w:sz="4" w:space="0" w:color="auto"/>
              <w:bottom w:val="single" w:sz="4" w:space="0" w:color="auto"/>
              <w:right w:val="single" w:sz="4" w:space="0" w:color="auto"/>
            </w:tcBorders>
          </w:tcPr>
          <w:p w:rsidR="00EC6A47" w:rsidRPr="00EC6A47" w:rsidRDefault="00EC6A47">
            <w:pPr>
              <w:pStyle w:val="Default"/>
            </w:pPr>
          </w:p>
        </w:tc>
        <w:tc>
          <w:tcPr>
            <w:tcW w:w="3118" w:type="dxa"/>
            <w:tcBorders>
              <w:left w:val="single" w:sz="4" w:space="0" w:color="auto"/>
            </w:tcBorders>
          </w:tcPr>
          <w:p w:rsidR="00EC6A47" w:rsidRPr="00EC6A47" w:rsidRDefault="00EC6A47" w:rsidP="00A15572">
            <w:pPr>
              <w:pStyle w:val="Default"/>
              <w:jc w:val="center"/>
            </w:pPr>
            <w:r w:rsidRPr="00EC6A47">
              <w:t>85-94</w:t>
            </w:r>
          </w:p>
        </w:tc>
        <w:tc>
          <w:tcPr>
            <w:tcW w:w="2268" w:type="dxa"/>
          </w:tcPr>
          <w:p w:rsidR="00EC6A47" w:rsidRPr="00EC6A47" w:rsidRDefault="00EC6A47" w:rsidP="00A15572">
            <w:pPr>
              <w:pStyle w:val="Default"/>
            </w:pPr>
            <w:r w:rsidRPr="00EC6A47">
              <w:t>9</w:t>
            </w:r>
          </w:p>
        </w:tc>
      </w:tr>
      <w:tr w:rsidR="00EC6A47" w:rsidTr="00A15572">
        <w:trPr>
          <w:trHeight w:val="109"/>
        </w:trPr>
        <w:tc>
          <w:tcPr>
            <w:tcW w:w="2693" w:type="dxa"/>
            <w:tcBorders>
              <w:top w:val="single" w:sz="4" w:space="0" w:color="auto"/>
              <w:left w:val="single" w:sz="4" w:space="0" w:color="auto"/>
              <w:bottom w:val="nil"/>
              <w:right w:val="single" w:sz="4" w:space="0" w:color="auto"/>
            </w:tcBorders>
          </w:tcPr>
          <w:p w:rsidR="00EC6A47" w:rsidRPr="00EC6A47" w:rsidRDefault="00EC6A47">
            <w:pPr>
              <w:pStyle w:val="Default"/>
            </w:pPr>
          </w:p>
        </w:tc>
        <w:tc>
          <w:tcPr>
            <w:tcW w:w="3118" w:type="dxa"/>
            <w:tcBorders>
              <w:left w:val="single" w:sz="4" w:space="0" w:color="auto"/>
            </w:tcBorders>
          </w:tcPr>
          <w:p w:rsidR="00EC6A47" w:rsidRPr="00EC6A47" w:rsidRDefault="00EC6A47" w:rsidP="00A15572">
            <w:pPr>
              <w:pStyle w:val="Default"/>
              <w:jc w:val="center"/>
            </w:pPr>
            <w:r w:rsidRPr="00EC6A47">
              <w:t>75-84</w:t>
            </w:r>
          </w:p>
        </w:tc>
        <w:tc>
          <w:tcPr>
            <w:tcW w:w="2268" w:type="dxa"/>
          </w:tcPr>
          <w:p w:rsidR="00EC6A47" w:rsidRPr="00EC6A47" w:rsidRDefault="00A15572" w:rsidP="00A15572">
            <w:pPr>
              <w:pStyle w:val="Default"/>
              <w:ind w:right="1593"/>
            </w:pPr>
            <w:r>
              <w:t>8</w:t>
            </w:r>
          </w:p>
        </w:tc>
      </w:tr>
      <w:tr w:rsidR="00EC6A47" w:rsidTr="00A15572">
        <w:trPr>
          <w:trHeight w:val="109"/>
        </w:trPr>
        <w:tc>
          <w:tcPr>
            <w:tcW w:w="2693" w:type="dxa"/>
            <w:tcBorders>
              <w:top w:val="nil"/>
              <w:left w:val="single" w:sz="4" w:space="0" w:color="auto"/>
              <w:bottom w:val="nil"/>
              <w:right w:val="single" w:sz="4" w:space="0" w:color="auto"/>
            </w:tcBorders>
          </w:tcPr>
          <w:p w:rsidR="00EC6A47" w:rsidRPr="00EC6A47" w:rsidRDefault="00BB4349">
            <w:pPr>
              <w:pStyle w:val="Default"/>
            </w:pPr>
            <w:r>
              <w:t>Pagrindinis</w:t>
            </w:r>
          </w:p>
        </w:tc>
        <w:tc>
          <w:tcPr>
            <w:tcW w:w="3118" w:type="dxa"/>
            <w:tcBorders>
              <w:left w:val="single" w:sz="4" w:space="0" w:color="auto"/>
            </w:tcBorders>
          </w:tcPr>
          <w:p w:rsidR="00EC6A47" w:rsidRPr="00EC6A47" w:rsidRDefault="00BB4349" w:rsidP="00A15572">
            <w:pPr>
              <w:pStyle w:val="Default"/>
              <w:jc w:val="center"/>
            </w:pPr>
            <w:r>
              <w:t>61</w:t>
            </w:r>
            <w:r w:rsidR="00EC6A47" w:rsidRPr="00EC6A47">
              <w:t>-74</w:t>
            </w:r>
          </w:p>
        </w:tc>
        <w:tc>
          <w:tcPr>
            <w:tcW w:w="2268" w:type="dxa"/>
          </w:tcPr>
          <w:p w:rsidR="00EC6A47" w:rsidRPr="00EC6A47" w:rsidRDefault="00EC6A47" w:rsidP="00A15572">
            <w:pPr>
              <w:pStyle w:val="Default"/>
            </w:pPr>
            <w:r w:rsidRPr="00EC6A47">
              <w:t>7</w:t>
            </w:r>
          </w:p>
        </w:tc>
      </w:tr>
      <w:tr w:rsidR="00EC6A47" w:rsidTr="00A15572">
        <w:trPr>
          <w:trHeight w:val="109"/>
        </w:trPr>
        <w:tc>
          <w:tcPr>
            <w:tcW w:w="2693" w:type="dxa"/>
            <w:tcBorders>
              <w:top w:val="nil"/>
              <w:left w:val="single" w:sz="4" w:space="0" w:color="auto"/>
              <w:bottom w:val="single" w:sz="4" w:space="0" w:color="auto"/>
              <w:right w:val="single" w:sz="4" w:space="0" w:color="auto"/>
            </w:tcBorders>
          </w:tcPr>
          <w:p w:rsidR="00EC6A47" w:rsidRPr="00EC6A47" w:rsidRDefault="00EC6A47">
            <w:pPr>
              <w:pStyle w:val="Default"/>
            </w:pPr>
          </w:p>
        </w:tc>
        <w:tc>
          <w:tcPr>
            <w:tcW w:w="3118" w:type="dxa"/>
            <w:tcBorders>
              <w:left w:val="single" w:sz="4" w:space="0" w:color="auto"/>
            </w:tcBorders>
          </w:tcPr>
          <w:p w:rsidR="00EC6A47" w:rsidRPr="00EC6A47" w:rsidRDefault="00BB4349" w:rsidP="00A15572">
            <w:pPr>
              <w:pStyle w:val="Default"/>
              <w:jc w:val="center"/>
            </w:pPr>
            <w:r>
              <w:t>50-60</w:t>
            </w:r>
          </w:p>
        </w:tc>
        <w:tc>
          <w:tcPr>
            <w:tcW w:w="2268" w:type="dxa"/>
          </w:tcPr>
          <w:p w:rsidR="00EC6A47" w:rsidRPr="00EC6A47" w:rsidRDefault="00EC6A47" w:rsidP="00A15572">
            <w:pPr>
              <w:pStyle w:val="Default"/>
            </w:pPr>
            <w:r w:rsidRPr="00EC6A47">
              <w:t>6</w:t>
            </w:r>
          </w:p>
        </w:tc>
      </w:tr>
      <w:tr w:rsidR="00EC6A47" w:rsidTr="00A15572">
        <w:trPr>
          <w:trHeight w:val="109"/>
        </w:trPr>
        <w:tc>
          <w:tcPr>
            <w:tcW w:w="2693" w:type="dxa"/>
            <w:tcBorders>
              <w:top w:val="single" w:sz="4" w:space="0" w:color="auto"/>
              <w:left w:val="single" w:sz="4" w:space="0" w:color="auto"/>
              <w:bottom w:val="nil"/>
              <w:right w:val="single" w:sz="4" w:space="0" w:color="auto"/>
            </w:tcBorders>
          </w:tcPr>
          <w:p w:rsidR="00EC6A47" w:rsidRPr="00EC6A47" w:rsidRDefault="00EC6A47">
            <w:pPr>
              <w:pStyle w:val="Default"/>
            </w:pPr>
          </w:p>
        </w:tc>
        <w:tc>
          <w:tcPr>
            <w:tcW w:w="3118" w:type="dxa"/>
            <w:tcBorders>
              <w:left w:val="single" w:sz="4" w:space="0" w:color="auto"/>
            </w:tcBorders>
          </w:tcPr>
          <w:p w:rsidR="00EC6A47" w:rsidRPr="00EC6A47" w:rsidRDefault="00BB4349" w:rsidP="00A15572">
            <w:pPr>
              <w:pStyle w:val="Default"/>
              <w:jc w:val="center"/>
            </w:pPr>
            <w:r>
              <w:t>40-49</w:t>
            </w:r>
          </w:p>
        </w:tc>
        <w:tc>
          <w:tcPr>
            <w:tcW w:w="2268" w:type="dxa"/>
          </w:tcPr>
          <w:p w:rsidR="00EC6A47" w:rsidRPr="00EC6A47" w:rsidRDefault="00EC6A47" w:rsidP="00A15572">
            <w:pPr>
              <w:pStyle w:val="Default"/>
            </w:pPr>
            <w:r w:rsidRPr="00EC6A47">
              <w:t>5</w:t>
            </w:r>
          </w:p>
        </w:tc>
      </w:tr>
      <w:tr w:rsidR="00EC6A47" w:rsidTr="00A15572">
        <w:trPr>
          <w:trHeight w:val="109"/>
        </w:trPr>
        <w:tc>
          <w:tcPr>
            <w:tcW w:w="2693" w:type="dxa"/>
            <w:tcBorders>
              <w:top w:val="nil"/>
              <w:left w:val="single" w:sz="4" w:space="0" w:color="auto"/>
              <w:bottom w:val="single" w:sz="4" w:space="0" w:color="auto"/>
              <w:right w:val="single" w:sz="4" w:space="0" w:color="auto"/>
            </w:tcBorders>
          </w:tcPr>
          <w:p w:rsidR="00EC6A47" w:rsidRPr="00EC6A47" w:rsidRDefault="00BB4349">
            <w:pPr>
              <w:pStyle w:val="Default"/>
            </w:pPr>
            <w:r>
              <w:t>Patenkinamas</w:t>
            </w:r>
          </w:p>
        </w:tc>
        <w:tc>
          <w:tcPr>
            <w:tcW w:w="3118" w:type="dxa"/>
            <w:tcBorders>
              <w:left w:val="single" w:sz="4" w:space="0" w:color="auto"/>
            </w:tcBorders>
          </w:tcPr>
          <w:p w:rsidR="00EC6A47" w:rsidRPr="00EC6A47" w:rsidRDefault="00BB4349" w:rsidP="00A15572">
            <w:pPr>
              <w:pStyle w:val="Default"/>
              <w:jc w:val="center"/>
            </w:pPr>
            <w:r>
              <w:t>30-39</w:t>
            </w:r>
          </w:p>
        </w:tc>
        <w:tc>
          <w:tcPr>
            <w:tcW w:w="2268" w:type="dxa"/>
          </w:tcPr>
          <w:p w:rsidR="00EC6A47" w:rsidRPr="00EC6A47" w:rsidRDefault="00EC6A47" w:rsidP="00A15572">
            <w:pPr>
              <w:pStyle w:val="Default"/>
            </w:pPr>
            <w:r w:rsidRPr="00EC6A47">
              <w:t>4</w:t>
            </w:r>
          </w:p>
        </w:tc>
      </w:tr>
      <w:tr w:rsidR="00EC6A47" w:rsidTr="00A15572">
        <w:trPr>
          <w:trHeight w:val="109"/>
        </w:trPr>
        <w:tc>
          <w:tcPr>
            <w:tcW w:w="2693" w:type="dxa"/>
            <w:tcBorders>
              <w:top w:val="single" w:sz="4" w:space="0" w:color="auto"/>
              <w:left w:val="single" w:sz="4" w:space="0" w:color="auto"/>
              <w:bottom w:val="nil"/>
              <w:right w:val="single" w:sz="4" w:space="0" w:color="auto"/>
            </w:tcBorders>
          </w:tcPr>
          <w:p w:rsidR="00EC6A47" w:rsidRPr="00EC6A47" w:rsidRDefault="00EC6A47">
            <w:pPr>
              <w:pStyle w:val="Default"/>
            </w:pPr>
          </w:p>
        </w:tc>
        <w:tc>
          <w:tcPr>
            <w:tcW w:w="3118" w:type="dxa"/>
            <w:tcBorders>
              <w:left w:val="single" w:sz="4" w:space="0" w:color="auto"/>
            </w:tcBorders>
          </w:tcPr>
          <w:p w:rsidR="00EC6A47" w:rsidRPr="00EC6A47" w:rsidRDefault="00BB4349" w:rsidP="00A15572">
            <w:pPr>
              <w:pStyle w:val="Default"/>
              <w:jc w:val="center"/>
            </w:pPr>
            <w:r>
              <w:t>20-29</w:t>
            </w:r>
          </w:p>
        </w:tc>
        <w:tc>
          <w:tcPr>
            <w:tcW w:w="2268" w:type="dxa"/>
          </w:tcPr>
          <w:p w:rsidR="00EC6A47" w:rsidRPr="00EC6A47" w:rsidRDefault="00EC6A47" w:rsidP="00A15572">
            <w:pPr>
              <w:pStyle w:val="Default"/>
            </w:pPr>
            <w:r w:rsidRPr="00EC6A47">
              <w:t>3</w:t>
            </w:r>
          </w:p>
        </w:tc>
      </w:tr>
      <w:tr w:rsidR="00EC6A47" w:rsidTr="00A15572">
        <w:trPr>
          <w:trHeight w:val="109"/>
        </w:trPr>
        <w:tc>
          <w:tcPr>
            <w:tcW w:w="2693" w:type="dxa"/>
            <w:tcBorders>
              <w:top w:val="nil"/>
              <w:left w:val="single" w:sz="4" w:space="0" w:color="auto"/>
              <w:bottom w:val="nil"/>
              <w:right w:val="single" w:sz="4" w:space="0" w:color="auto"/>
            </w:tcBorders>
          </w:tcPr>
          <w:p w:rsidR="00EC6A47" w:rsidRPr="00EC6A47" w:rsidRDefault="00BB4349">
            <w:pPr>
              <w:pStyle w:val="Default"/>
            </w:pPr>
            <w:r>
              <w:t xml:space="preserve">Nepatenkinamas </w:t>
            </w:r>
          </w:p>
        </w:tc>
        <w:tc>
          <w:tcPr>
            <w:tcW w:w="3118" w:type="dxa"/>
            <w:tcBorders>
              <w:left w:val="single" w:sz="4" w:space="0" w:color="auto"/>
            </w:tcBorders>
          </w:tcPr>
          <w:p w:rsidR="00EC6A47" w:rsidRPr="00EC6A47" w:rsidRDefault="00BB4349" w:rsidP="00A15572">
            <w:pPr>
              <w:pStyle w:val="Default"/>
              <w:jc w:val="center"/>
            </w:pPr>
            <w:r>
              <w:t>1-19</w:t>
            </w:r>
          </w:p>
        </w:tc>
        <w:tc>
          <w:tcPr>
            <w:tcW w:w="2268" w:type="dxa"/>
          </w:tcPr>
          <w:p w:rsidR="00EC6A47" w:rsidRPr="00EC6A47" w:rsidRDefault="00EC6A47" w:rsidP="00A15572">
            <w:pPr>
              <w:pStyle w:val="Default"/>
            </w:pPr>
            <w:r w:rsidRPr="00EC6A47">
              <w:t>2</w:t>
            </w:r>
          </w:p>
        </w:tc>
      </w:tr>
      <w:tr w:rsidR="00EC6A47" w:rsidTr="00A15572">
        <w:trPr>
          <w:trHeight w:val="109"/>
        </w:trPr>
        <w:tc>
          <w:tcPr>
            <w:tcW w:w="2693" w:type="dxa"/>
            <w:tcBorders>
              <w:top w:val="nil"/>
              <w:left w:val="single" w:sz="4" w:space="0" w:color="auto"/>
              <w:bottom w:val="single" w:sz="4" w:space="0" w:color="auto"/>
              <w:right w:val="single" w:sz="4" w:space="0" w:color="auto"/>
            </w:tcBorders>
          </w:tcPr>
          <w:p w:rsidR="00EC6A47" w:rsidRPr="00EC6A47" w:rsidRDefault="00EC6A47">
            <w:pPr>
              <w:pStyle w:val="Default"/>
            </w:pPr>
          </w:p>
        </w:tc>
        <w:tc>
          <w:tcPr>
            <w:tcW w:w="3118" w:type="dxa"/>
            <w:tcBorders>
              <w:left w:val="single" w:sz="4" w:space="0" w:color="auto"/>
            </w:tcBorders>
          </w:tcPr>
          <w:p w:rsidR="00EC6A47" w:rsidRPr="00EC6A47" w:rsidRDefault="00BB4349">
            <w:pPr>
              <w:pStyle w:val="Default"/>
            </w:pPr>
            <w:r>
              <w:t>0 ( neatliko užduoties)</w:t>
            </w:r>
            <w:r w:rsidR="00EC6A47" w:rsidRPr="00EC6A47">
              <w:t xml:space="preserve"> </w:t>
            </w:r>
          </w:p>
        </w:tc>
        <w:tc>
          <w:tcPr>
            <w:tcW w:w="2268" w:type="dxa"/>
          </w:tcPr>
          <w:p w:rsidR="00EC6A47" w:rsidRPr="00EC6A47" w:rsidRDefault="00EC6A47" w:rsidP="00A15572">
            <w:pPr>
              <w:pStyle w:val="Default"/>
            </w:pPr>
            <w:r w:rsidRPr="00EC6A47">
              <w:t>1</w:t>
            </w:r>
          </w:p>
        </w:tc>
      </w:tr>
    </w:tbl>
    <w:p w:rsidR="005901B1" w:rsidRDefault="005901B1" w:rsidP="00461EA6"/>
    <w:p w:rsidR="00E658B7" w:rsidRDefault="00461EA6" w:rsidP="00461EA6">
      <w:r>
        <w:t xml:space="preserve">     17. Visų dalykų mokytojai užtikrina kalbėjimo, skaitymo, rašymo gebėjimų, ugdymą:</w:t>
      </w:r>
    </w:p>
    <w:p w:rsidR="00E658B7" w:rsidRDefault="00461EA6" w:rsidP="00461EA6">
      <w:r>
        <w:t>17.1. neįskaitomai parašytas tekstas ar  atsakymai  nevertinami arba rašoma 0 taškų;</w:t>
      </w:r>
    </w:p>
    <w:p w:rsidR="00A615E1" w:rsidRDefault="00461EA6" w:rsidP="00461EA6">
      <w:r>
        <w:t xml:space="preserve"> 17.2. vertindamas mokinio darbą, mokytojas atkreipia dėmesį į jo gebėjimą nuosekliai, aiškiai, rišliai ir taisyklingai reikšti mintis žodžiu ar raštu, o taisytinus dalykus komentuoja  žodžiu arba pabraukia;</w:t>
      </w:r>
    </w:p>
    <w:p w:rsidR="00461EA6" w:rsidRDefault="00461EA6" w:rsidP="00461EA6">
      <w:r>
        <w:t xml:space="preserve">17.3. mokytojas bendru susitarimu su mokiniais prie surinkto taškų skaičiaus už dalyko žinias skiria papildomų taškų </w:t>
      </w:r>
      <w:r w:rsidR="00A615E1">
        <w:t xml:space="preserve">ir </w:t>
      </w:r>
      <w:r>
        <w:t>už taisyklingą kalbos vartojimą.</w:t>
      </w:r>
    </w:p>
    <w:p w:rsidR="00461EA6" w:rsidRDefault="00461EA6" w:rsidP="00461EA6">
      <w:r>
        <w:t xml:space="preserve"> </w:t>
      </w:r>
      <w:r w:rsidR="00E658B7">
        <w:t xml:space="preserve">  </w:t>
      </w:r>
      <w:r>
        <w:t xml:space="preserve"> 18. Vertinimo planavimas:</w:t>
      </w:r>
    </w:p>
    <w:p w:rsidR="00E658B7" w:rsidRDefault="00461EA6" w:rsidP="00461EA6">
      <w:r>
        <w:t>18.1. vertinimą mokytojas planuoja kartu su ugdymo procesu, sieja jį su mokymo(</w:t>
      </w:r>
      <w:proofErr w:type="spellStart"/>
      <w:r>
        <w:t>si</w:t>
      </w:r>
      <w:proofErr w:type="spellEnd"/>
      <w:r>
        <w:t xml:space="preserve">) tikslais ir uždaviniais, atsižvelgdamas į mokinių pasiekimus ir išgales, remiasi </w:t>
      </w:r>
      <w:r w:rsidR="00A615E1">
        <w:t>Bendrųjų programų reikalavimais;</w:t>
      </w:r>
    </w:p>
    <w:p w:rsidR="00E658B7" w:rsidRDefault="00A615E1" w:rsidP="00461EA6">
      <w:r>
        <w:t xml:space="preserve"> 18.2. </w:t>
      </w:r>
      <w:r w:rsidR="00461EA6">
        <w:t>vertinimo tvarką, pritaikytą konkrečiai klasei, grupei ar mokiniui, kuria ir fiksuoja ilgalaikio plano įžanginėje dalyje juos mokantis mokytojas;</w:t>
      </w:r>
    </w:p>
    <w:p w:rsidR="00461EA6" w:rsidRDefault="00461EA6" w:rsidP="00461EA6">
      <w:r>
        <w:t xml:space="preserve">  18.3. planuodamas naują etapą, ciklą, su mokiniais aptaria tikslus, uždavinius, darbo metodus, vertinimo kriterijus bei formas, informuoja, kurios veiklos bus vertinamos, kaip jos bus vertinamos, už kiek veiklų rašomas suminis pažymys ar kaupiamieji taškai.</w:t>
      </w:r>
    </w:p>
    <w:p w:rsidR="00461EA6" w:rsidRDefault="00E658B7" w:rsidP="00461EA6">
      <w:r>
        <w:t xml:space="preserve">      </w:t>
      </w:r>
      <w:r w:rsidR="00461EA6">
        <w:t xml:space="preserve"> 19. Su vertinimo tvarka kiekvienas mokytojas pasirašytinai supažindina mokinius prasidėjus ugdymo procesui.</w:t>
      </w:r>
    </w:p>
    <w:p w:rsidR="00A615E1" w:rsidRDefault="00E658B7" w:rsidP="00461EA6">
      <w:r>
        <w:t xml:space="preserve">       </w:t>
      </w:r>
      <w:r w:rsidR="00A615E1">
        <w:t>20</w:t>
      </w:r>
      <w:r w:rsidR="00461EA6">
        <w:t>.Mokytojas savo kabinete skelbia informaciją apie taikomą mokomojo dalyk</w:t>
      </w:r>
      <w:r w:rsidR="00F906BC">
        <w:t>o individualią vertinimo tvarką.</w:t>
      </w:r>
    </w:p>
    <w:p w:rsidR="00E658B7" w:rsidRDefault="00461EA6" w:rsidP="00461EA6">
      <w:r>
        <w:t xml:space="preserve">       21.Vertinimas mokant:</w:t>
      </w:r>
    </w:p>
    <w:p w:rsidR="00461EA6" w:rsidRDefault="00461EA6" w:rsidP="00461EA6">
      <w:r>
        <w:t xml:space="preserve">  21.1. ugdymo procese turi vyrauti mokytis padedantis formuojamasis vertinimas, kuris nesiejamas su pažymiu, padeda mokytis, padrąsina, nukreipia tam tikrai veiklai,  rodo, ką konkrečiai mokiniai geba, yra pasiekę ir ko dar turi pasiekti ar tobulinti, mokiniai mokomi vertinti kitus ir patys įsivertinti;</w:t>
      </w:r>
    </w:p>
    <w:p w:rsidR="00E658B7" w:rsidRDefault="00461EA6" w:rsidP="00461EA6">
      <w:r>
        <w:t>21.2. prieš pradedant  naują skyrių, temą ir kt. mokytojas su mokiniais išsiaiškina mokymosi užd</w:t>
      </w:r>
      <w:r w:rsidR="00A615E1">
        <w:t>avinius ir vertinimo kriterijus;</w:t>
      </w:r>
    </w:p>
    <w:p w:rsidR="00461EA6" w:rsidRDefault="00461EA6" w:rsidP="00461EA6">
      <w:r>
        <w:t xml:space="preserve"> 21.3. pradedantiems mokytis pagal pagr</w:t>
      </w:r>
      <w:r w:rsidR="00487EDD">
        <w:t xml:space="preserve">indinio ugdymo programos pirmąją </w:t>
      </w:r>
      <w:r>
        <w:t xml:space="preserve"> dalį ir naujai atvykusiems mo</w:t>
      </w:r>
      <w:r w:rsidR="00057678">
        <w:t xml:space="preserve">kiniams skiriamas mėnesio </w:t>
      </w:r>
      <w:bookmarkStart w:id="0" w:name="_GoBack"/>
      <w:bookmarkEnd w:id="0"/>
      <w:r w:rsidR="00487EDD">
        <w:t xml:space="preserve"> </w:t>
      </w:r>
      <w:r>
        <w:t xml:space="preserve"> adaptacinis laikotarpis, kurio metu</w:t>
      </w:r>
      <w:r w:rsidR="00487EDD">
        <w:t xml:space="preserve"> taikomas formuojamasis vertinimas ir  pirmą pusmetį </w:t>
      </w:r>
      <w:r>
        <w:t xml:space="preserve"> nepatenkinamais </w:t>
      </w:r>
      <w:proofErr w:type="spellStart"/>
      <w:r>
        <w:t>įvertinimais</w:t>
      </w:r>
      <w:proofErr w:type="spellEnd"/>
      <w:r>
        <w:t xml:space="preserve"> nevertinami;</w:t>
      </w:r>
    </w:p>
    <w:p w:rsidR="00461EA6" w:rsidRDefault="00E658B7" w:rsidP="00461EA6">
      <w:r>
        <w:t xml:space="preserve"> </w:t>
      </w:r>
      <w:r w:rsidR="00461EA6">
        <w:t>21.4. mokinių mokymosi motyvacijai skatinti mokytojai naudoja ir kaupiamąjį arba suminį vertinimą. Šie vertinimo būdai aprašomi individualioje vertinimo tvarkoje.</w:t>
      </w:r>
    </w:p>
    <w:p w:rsidR="00E658B7" w:rsidRDefault="00461EA6" w:rsidP="00461EA6">
      <w:r>
        <w:t xml:space="preserve">       22. Vertinant sukauptos informacijos rinkimas ir fiksavimas:</w:t>
      </w:r>
    </w:p>
    <w:p w:rsidR="00E658B7" w:rsidRDefault="00461EA6" w:rsidP="00461EA6">
      <w:r>
        <w:lastRenderedPageBreak/>
        <w:t xml:space="preserve">22.1. kompetencijos, ypač nuostatų dėmuo, vertinamos ir įsivertinamos mokinių ir mokytojo sąveikoje, dialoguose, diskusijose, renkant ir kaupiant kokybinius kompetencijų </w:t>
      </w:r>
      <w:proofErr w:type="spellStart"/>
      <w:r>
        <w:t>įrodymus</w:t>
      </w:r>
      <w:proofErr w:type="spellEnd"/>
      <w:r>
        <w:t xml:space="preserve"> (mokinių darbus, </w:t>
      </w:r>
      <w:proofErr w:type="spellStart"/>
      <w:r>
        <w:t>įvertinimus</w:t>
      </w:r>
      <w:proofErr w:type="spellEnd"/>
      <w:r>
        <w:t xml:space="preserve">, </w:t>
      </w:r>
      <w:proofErr w:type="spellStart"/>
      <w:r>
        <w:t>įsivertinimus</w:t>
      </w:r>
      <w:proofErr w:type="spellEnd"/>
      <w:r>
        <w:t>, komentarus, refleksijas):</w:t>
      </w:r>
    </w:p>
    <w:p w:rsidR="00461EA6" w:rsidRDefault="00461EA6" w:rsidP="00461EA6">
      <w:r>
        <w:t xml:space="preserve"> 22.1.1. dalykų mokytojai individualia tvarka kaupia klasės, grupės ar mokinio vertinimo informaciją, kuri mokytojui padeda stebėti ugdymo veiksmingumą, padeda sukaupti  apie  mokinių mokymąsi duomenis, kuriuos  būtų galima aptarti su mokiniais, jų tėvais (globėjais, rūpintojais), klasės vadovu, administracija;</w:t>
      </w:r>
    </w:p>
    <w:p w:rsidR="00461EA6" w:rsidRDefault="00E658B7" w:rsidP="00461EA6">
      <w:r>
        <w:t xml:space="preserve"> </w:t>
      </w:r>
      <w:r w:rsidR="00461EA6">
        <w:t>22.1.2. mokiniai, klasės vadovo padedami, individualiuose vertinimo aplankuose  nuolat kaupia kompetencijas įrodančių darbų ir vertinimų visumą (pažangumas, lankomumas ir kt.);</w:t>
      </w:r>
    </w:p>
    <w:p w:rsidR="00461EA6" w:rsidRDefault="00E658B7" w:rsidP="00461EA6">
      <w:r>
        <w:t xml:space="preserve"> </w:t>
      </w:r>
      <w:r w:rsidR="00461EA6">
        <w:t>22.1.3. klasės vadovai saugo aplankus kabinete ir naudodamiesi sukaupta informacija aptaria mokinių individualią pažangą ir brandą patvirtinančias kompetencijas;</w:t>
      </w:r>
    </w:p>
    <w:p w:rsidR="00461EA6" w:rsidRDefault="00461EA6" w:rsidP="00461EA6">
      <w:r>
        <w:t xml:space="preserve"> 22.2. kiekvieno mokomojo dalyko mokytojas mokinių </w:t>
      </w:r>
      <w:proofErr w:type="spellStart"/>
      <w:r>
        <w:t>įvertinimus</w:t>
      </w:r>
      <w:proofErr w:type="spellEnd"/>
      <w:r>
        <w:t xml:space="preserve"> rašo į elektroninį dienyną, nurodydamas pažymio tipą;</w:t>
      </w:r>
    </w:p>
    <w:p w:rsidR="00461EA6" w:rsidRDefault="00A615E1" w:rsidP="00461EA6">
      <w:r>
        <w:t xml:space="preserve"> 22.3</w:t>
      </w:r>
      <w:r w:rsidR="00461EA6">
        <w:t>. direktoriaus pavaduotoja ugdymui rengia mokinių mokymosi pasiekimų ir pažangos ataskaitas, kurias pristato  mokytojų tarybos posėdyje, klasių tėvų susirinkimuose.</w:t>
      </w:r>
    </w:p>
    <w:p w:rsidR="00E658B7" w:rsidRDefault="00E658B7" w:rsidP="00461EA6">
      <w:r>
        <w:t xml:space="preserve">      </w:t>
      </w:r>
      <w:r w:rsidR="00461EA6">
        <w:t>23. Vertinimo informacijos panaudojimas:</w:t>
      </w:r>
    </w:p>
    <w:p w:rsidR="00461EA6" w:rsidRDefault="00461EA6" w:rsidP="00461EA6">
      <w:r>
        <w:t xml:space="preserve"> 23.1. informuoti mokinius, tėvus (globėjus, rūpintojus), klasės auklėtojus, kitus mokytojus, administraciją apie mokinių mokymąsi;</w:t>
      </w:r>
    </w:p>
    <w:p w:rsidR="00461EA6" w:rsidRDefault="00E658B7" w:rsidP="00461EA6">
      <w:r>
        <w:t xml:space="preserve"> </w:t>
      </w:r>
      <w:r w:rsidR="00461EA6">
        <w:t xml:space="preserve">23.2. nustatyti, kurie mokiniai turi mokymosi sunkumų ir laiku suteikti pagalbą;       </w:t>
      </w:r>
    </w:p>
    <w:p w:rsidR="00E658B7" w:rsidRDefault="00461EA6" w:rsidP="00461EA6">
      <w:r>
        <w:t>23.3. analizuojant mokinių pažangą ir poreikius, keliant tolesnius mokymo ir mokymosi tikslus;</w:t>
      </w:r>
    </w:p>
    <w:p w:rsidR="00461EA6" w:rsidRDefault="00F20495" w:rsidP="00461EA6">
      <w:r>
        <w:t>23</w:t>
      </w:r>
      <w:r w:rsidR="00461EA6">
        <w:t>.4. priimant sprendimus dėl ugdymo turinio, mokymo metodų ir strategijų, mokymosi užduočių, išteklių naudojimo veiksmingumo, ugdymo tikslų realumo;</w:t>
      </w:r>
    </w:p>
    <w:p w:rsidR="00E658B7" w:rsidRDefault="00F20495" w:rsidP="00461EA6">
      <w:r>
        <w:t>23</w:t>
      </w:r>
      <w:r w:rsidR="00461EA6">
        <w:t>.5. aptarti mokinių mokymosi pažangą ir pasiekimus klasių tėvų susirinkimuose</w:t>
      </w:r>
      <w:r>
        <w:t>;</w:t>
      </w:r>
    </w:p>
    <w:p w:rsidR="00461EA6" w:rsidRDefault="00F20495" w:rsidP="00461EA6">
      <w:r>
        <w:t xml:space="preserve"> 23</w:t>
      </w:r>
      <w:r w:rsidR="00461EA6">
        <w:t>.6. vertinant gimnazijos, mokytojo darbo kokybę, atsižvelgiant į vaikų ir tėvų socialinę padėtį, sociokultūrinę aplinką.</w:t>
      </w:r>
    </w:p>
    <w:p w:rsidR="00E658B7" w:rsidRDefault="00770C9D" w:rsidP="00461EA6">
      <w:pPr>
        <w:rPr>
          <w:b/>
        </w:rPr>
      </w:pPr>
      <w:r>
        <w:t xml:space="preserve">       24</w:t>
      </w:r>
      <w:r w:rsidR="00461EA6">
        <w:t xml:space="preserve">. </w:t>
      </w:r>
      <w:r w:rsidR="00FF4B6C">
        <w:rPr>
          <w:b/>
        </w:rPr>
        <w:t>Kontrolinis darbas.</w:t>
      </w:r>
      <w:r w:rsidR="00461EA6" w:rsidRPr="00770C9D">
        <w:rPr>
          <w:b/>
        </w:rPr>
        <w:t xml:space="preserve"> </w:t>
      </w:r>
      <w:r w:rsidR="00FF4B6C" w:rsidRPr="00543E45">
        <w:t xml:space="preserve">Darbas raštu ne mažesnis kaip 30 minučių trukmės, skirtas patikrinti, kaip įvaldyta programos dalis (tema, </w:t>
      </w:r>
      <w:r w:rsidR="00FF4B6C">
        <w:t>kelios temos, skyrius ir pan.):</w:t>
      </w:r>
    </w:p>
    <w:p w:rsidR="00E658B7" w:rsidRDefault="00770C9D" w:rsidP="00461EA6">
      <w:pPr>
        <w:rPr>
          <w:b/>
        </w:rPr>
      </w:pPr>
      <w:r>
        <w:t xml:space="preserve"> 24</w:t>
      </w:r>
      <w:r w:rsidR="00487EDD">
        <w:t xml:space="preserve">.1. </w:t>
      </w:r>
      <w:r w:rsidR="00461EA6">
        <w:t xml:space="preserve"> mokiniams per dieną skiriamas ne daugiau kaip vienas kontrolinis darbas, o III-IV kl. dėl kontrolinių darbų skyrimo datos tariamasi su  mokiniais;</w:t>
      </w:r>
    </w:p>
    <w:p w:rsidR="00461EA6" w:rsidRPr="00E658B7" w:rsidRDefault="00770C9D" w:rsidP="00461EA6">
      <w:pPr>
        <w:rPr>
          <w:b/>
        </w:rPr>
      </w:pPr>
      <w:r>
        <w:t xml:space="preserve"> 24</w:t>
      </w:r>
      <w:r w:rsidR="00461EA6">
        <w:t>.2. mokytojas kontrolinius darbus fiksuoja e-dienyne ir apie juos informuoja mokinius ne vėliau kaip prieš savaitę;</w:t>
      </w:r>
    </w:p>
    <w:p w:rsidR="00E658B7" w:rsidRDefault="00E658B7" w:rsidP="00461EA6">
      <w:r>
        <w:t xml:space="preserve"> </w:t>
      </w:r>
      <w:r w:rsidR="00770C9D">
        <w:t>24</w:t>
      </w:r>
      <w:r w:rsidR="00461EA6">
        <w:t xml:space="preserve">.3. mokytojas, susitaręs su mokiniais, dėl objektyvių priežasčių  gali kontrolinio darbo laiką keisti;  </w:t>
      </w:r>
    </w:p>
    <w:p w:rsidR="00461EA6" w:rsidRDefault="00770C9D" w:rsidP="00461EA6">
      <w:r>
        <w:t xml:space="preserve"> 24.4</w:t>
      </w:r>
      <w:r w:rsidR="00461EA6">
        <w:t>. kontrolinis darbas po ligos, atostogų ar šventinių dienų neorganizuojamas.</w:t>
      </w:r>
    </w:p>
    <w:p w:rsidR="00461EA6" w:rsidRDefault="00E658B7" w:rsidP="00461EA6">
      <w:r>
        <w:lastRenderedPageBreak/>
        <w:t xml:space="preserve"> </w:t>
      </w:r>
      <w:r w:rsidR="00770C9D">
        <w:t xml:space="preserve"> 24.5</w:t>
      </w:r>
      <w:r w:rsidR="00461EA6">
        <w:t>. mokytojo parinktos užduotys kontroliniam darbui turi atitikti visus mokymosi pasiekimų lygius (pvz.: 50 proc. užduočių turi atitikti  patenkinamą, 30 proc. – pagrindinį, 20 proc. –  aukštesnįjį lygį), prie kiekvienos užduoties ar klausimo rekomenduojama nurodyti taškus;</w:t>
      </w:r>
    </w:p>
    <w:p w:rsidR="00E658B7" w:rsidRDefault="00770C9D" w:rsidP="00770C9D">
      <w:r>
        <w:t>24.6.  m</w:t>
      </w:r>
      <w:r w:rsidRPr="00543E45">
        <w:t xml:space="preserve">okiniai, praleidę kontrolinį darbą dėl pateisinamos priežasties, privalo atsiskaityti per 2 savaites po atvykimo dienos į gimnaziją. Įvertinimas rašomas į tos dienos, kada buvo rašytas kontrolinis darbas, langelį šalia „n“. Neatvykus atsiskaityti </w:t>
      </w:r>
      <w:r>
        <w:t xml:space="preserve">jo pasiekimai prilyginami žemiausiam 10 balų sistemos įvertinimui „labai blogai“;      </w:t>
      </w:r>
    </w:p>
    <w:p w:rsidR="00E658B7" w:rsidRDefault="00770C9D" w:rsidP="00E658B7">
      <w:r>
        <w:t>24.7. j</w:t>
      </w:r>
      <w:r w:rsidRPr="00543E45">
        <w:t xml:space="preserve">ei mokinys, neatvykęs į kontrolinį darbą, negali nurodyti pateisinamos priežasties, jis privalo kontrolinį darbą atsiskaityti pirmą atvykimo į gimnaziją savaitę.  Įvertinimas fiksuojamas tos dienos, kada buvo rašytas kontrolinis darbas, langelyje šalia „n“. Neatvykus atsiskaityti </w:t>
      </w:r>
      <w:r>
        <w:t xml:space="preserve">jo pasiekimai prilyginami žemiausiam 10 balų sistemos įvertinimui „labai blogai“;      </w:t>
      </w:r>
    </w:p>
    <w:p w:rsidR="00770C9D" w:rsidRDefault="00770C9D" w:rsidP="00E658B7">
      <w:r>
        <w:t>24.8.  k</w:t>
      </w:r>
      <w:r w:rsidRPr="00543E45">
        <w:t xml:space="preserve">ontrolinio darbo rezultatus dalyko mokytojas e-dienyne fiksuoja ne vėliau kaip per </w:t>
      </w:r>
    </w:p>
    <w:p w:rsidR="00E658B7" w:rsidRDefault="00770C9D" w:rsidP="00E658B7">
      <w:pPr>
        <w:pStyle w:val="Default"/>
      </w:pPr>
      <w:r w:rsidRPr="00543E45">
        <w:t xml:space="preserve">7 kalendorines dienas; </w:t>
      </w:r>
    </w:p>
    <w:p w:rsidR="00105342" w:rsidRDefault="00770C9D" w:rsidP="00E658B7">
      <w:pPr>
        <w:pStyle w:val="Default"/>
      </w:pPr>
      <w:r>
        <w:t xml:space="preserve"> 24.9. s</w:t>
      </w:r>
      <w:r w:rsidRPr="00543E45">
        <w:t>u ištaisytais darbais supažindinami mokiniai, vykdoma kontrolinio darbo analizė</w:t>
      </w:r>
      <w:r>
        <w:t>, mokytojas</w:t>
      </w:r>
      <w:r w:rsidRPr="00770C9D">
        <w:t xml:space="preserve"> </w:t>
      </w:r>
      <w:r>
        <w:t>parodo ir paaiškina mokiniui padarytas klaidas;</w:t>
      </w:r>
    </w:p>
    <w:p w:rsidR="00461EA6" w:rsidRDefault="00770C9D" w:rsidP="00105342">
      <w:r>
        <w:t>24.10.</w:t>
      </w:r>
      <w:r w:rsidRPr="00543E45">
        <w:t xml:space="preserve"> </w:t>
      </w:r>
      <w:r>
        <w:t xml:space="preserve"> kontrolinis darbas</w:t>
      </w:r>
      <w:r w:rsidRPr="00543E45">
        <w:t xml:space="preserve"> ne</w:t>
      </w:r>
      <w:r>
        <w:t>perrašomas</w:t>
      </w:r>
      <w:r w:rsidRPr="00543E45">
        <w:t>.</w:t>
      </w:r>
    </w:p>
    <w:p w:rsidR="00E658B7" w:rsidRDefault="00FF4B6C" w:rsidP="00FF4B6C">
      <w:pPr>
        <w:pStyle w:val="Default"/>
      </w:pPr>
      <w:r>
        <w:rPr>
          <w:b/>
          <w:bCs/>
        </w:rPr>
        <w:t xml:space="preserve"> </w:t>
      </w:r>
      <w:r w:rsidR="00E658B7">
        <w:rPr>
          <w:b/>
          <w:bCs/>
        </w:rPr>
        <w:t xml:space="preserve">  </w:t>
      </w:r>
      <w:r>
        <w:rPr>
          <w:b/>
          <w:bCs/>
        </w:rPr>
        <w:t>25.</w:t>
      </w:r>
      <w:r w:rsidRPr="00543E45">
        <w:rPr>
          <w:b/>
          <w:bCs/>
        </w:rPr>
        <w:t xml:space="preserve">Apklausa raštu: </w:t>
      </w:r>
    </w:p>
    <w:p w:rsidR="00FF4B6C" w:rsidRPr="00543E45" w:rsidRDefault="00FF4B6C" w:rsidP="00FF4B6C">
      <w:pPr>
        <w:pStyle w:val="Default"/>
      </w:pPr>
      <w:r>
        <w:t xml:space="preserve">  </w:t>
      </w:r>
      <w:r w:rsidRPr="00543E45">
        <w:t>2</w:t>
      </w:r>
      <w:r>
        <w:t>5</w:t>
      </w:r>
      <w:r w:rsidRPr="00543E45">
        <w:t xml:space="preserve">.1 Darbas raštu trunka mažiau nei 15 min. Apklausa atliekama ne daugiau kaip iš vienos pamokos medžiagos; </w:t>
      </w:r>
    </w:p>
    <w:p w:rsidR="00FF4B6C" w:rsidRPr="00543E45" w:rsidRDefault="00FF4B6C" w:rsidP="00FF4B6C">
      <w:pPr>
        <w:pStyle w:val="Default"/>
      </w:pPr>
      <w:r>
        <w:t xml:space="preserve"> </w:t>
      </w:r>
      <w:r w:rsidRPr="00543E45">
        <w:t>2</w:t>
      </w:r>
      <w:r>
        <w:t>5</w:t>
      </w:r>
      <w:r w:rsidRPr="00543E45">
        <w:t xml:space="preserve">.2 Darbai grąžinami ir su rezultatais mokiniai supažindinami </w:t>
      </w:r>
      <w:r>
        <w:t xml:space="preserve"> kitą </w:t>
      </w:r>
      <w:r w:rsidRPr="00543E45">
        <w:t xml:space="preserve"> pamoką;</w:t>
      </w:r>
    </w:p>
    <w:p w:rsidR="00FF4B6C" w:rsidRPr="00543E45" w:rsidRDefault="00FF4B6C" w:rsidP="00FF4B6C">
      <w:pPr>
        <w:pStyle w:val="Default"/>
      </w:pPr>
      <w:r w:rsidRPr="00543E45">
        <w:t>2</w:t>
      </w:r>
      <w:r>
        <w:t>5</w:t>
      </w:r>
      <w:r w:rsidRPr="00543E45">
        <w:t xml:space="preserve">.3. Iš anksto apie apklausą mokiniai neinformuojami. </w:t>
      </w:r>
    </w:p>
    <w:p w:rsidR="00FF4B6C" w:rsidRPr="00543E45" w:rsidRDefault="00E658B7" w:rsidP="00FF4B6C">
      <w:pPr>
        <w:pStyle w:val="Default"/>
      </w:pPr>
      <w:r>
        <w:rPr>
          <w:b/>
          <w:bCs/>
        </w:rPr>
        <w:t xml:space="preserve">    </w:t>
      </w:r>
      <w:r w:rsidR="00FF4B6C">
        <w:rPr>
          <w:b/>
          <w:bCs/>
        </w:rPr>
        <w:t>26</w:t>
      </w:r>
      <w:r w:rsidR="00FF4B6C" w:rsidRPr="00543E45">
        <w:rPr>
          <w:b/>
          <w:bCs/>
        </w:rPr>
        <w:t xml:space="preserve">. Savarankiškas darbas: </w:t>
      </w:r>
    </w:p>
    <w:p w:rsidR="00FF4B6C" w:rsidRPr="00543E45" w:rsidRDefault="00FF4B6C" w:rsidP="00FF4B6C">
      <w:pPr>
        <w:pStyle w:val="Default"/>
      </w:pPr>
      <w:r>
        <w:t>26</w:t>
      </w:r>
      <w:r w:rsidRPr="00543E45">
        <w:t xml:space="preserve">.1. Darbas raštu, kurio trukmė pamokoje planuojama mokytojo nuožiūra. </w:t>
      </w:r>
    </w:p>
    <w:p w:rsidR="00FF4B6C" w:rsidRPr="00543E45" w:rsidRDefault="00FF4B6C" w:rsidP="00FF4B6C">
      <w:pPr>
        <w:pStyle w:val="Default"/>
      </w:pPr>
      <w:r>
        <w:t>26</w:t>
      </w:r>
      <w:r w:rsidRPr="00543E45">
        <w:t xml:space="preserve">.2. Jo metu mokiniai atlieka mokytojo pateiktas užduotis iš jau išmoktų ar naujai išdėstytų temų; </w:t>
      </w:r>
    </w:p>
    <w:p w:rsidR="00FF4B6C" w:rsidRPr="00543E45" w:rsidRDefault="00FF4B6C" w:rsidP="00FF4B6C">
      <w:pPr>
        <w:pStyle w:val="Default"/>
      </w:pPr>
      <w:r>
        <w:t>26</w:t>
      </w:r>
      <w:r w:rsidRPr="00543E45">
        <w:t xml:space="preserve">.3. Savarankiško darbo metu mokiniai gali naudotis vadovėliais ar kita informacine medžiaga; </w:t>
      </w:r>
    </w:p>
    <w:p w:rsidR="00FF4B6C" w:rsidRPr="00543E45" w:rsidRDefault="00FF4B6C" w:rsidP="00FF4B6C">
      <w:pPr>
        <w:pStyle w:val="Default"/>
      </w:pPr>
      <w:r>
        <w:t>26</w:t>
      </w:r>
      <w:r w:rsidRPr="00543E45">
        <w:t xml:space="preserve">.4. Patikrinimas gali vykti pasirinktinai (tikrinami ne visų mokinių darbai); </w:t>
      </w:r>
    </w:p>
    <w:p w:rsidR="00FF4B6C" w:rsidRPr="00543E45" w:rsidRDefault="00FF4B6C" w:rsidP="00FF4B6C">
      <w:pPr>
        <w:pStyle w:val="Default"/>
      </w:pPr>
      <w:r>
        <w:t>26</w:t>
      </w:r>
      <w:r w:rsidRPr="00543E45">
        <w:t xml:space="preserve">.5. Savarankiško darbo įvertinimas fiksuojamas pagal dalyko metodinės grupės priimtą vertinimo tvarką; </w:t>
      </w:r>
    </w:p>
    <w:p w:rsidR="00FF4B6C" w:rsidRPr="00543E45" w:rsidRDefault="00D40AFC" w:rsidP="00FF4B6C">
      <w:pPr>
        <w:pStyle w:val="Default"/>
      </w:pPr>
      <w:r>
        <w:t>26</w:t>
      </w:r>
      <w:r w:rsidR="00FF4B6C" w:rsidRPr="00543E45">
        <w:t xml:space="preserve">.6 Apie savarankiško darbo rašymą iš anksto informuoti nebūtina (nebent būtų reikalingos priemonės: žinynai, žodynai, skaičiuotuvai ir kt.) </w:t>
      </w:r>
    </w:p>
    <w:p w:rsidR="00FF4B6C" w:rsidRPr="00543E45" w:rsidRDefault="00E658B7" w:rsidP="00FF4B6C">
      <w:pPr>
        <w:pStyle w:val="Default"/>
      </w:pPr>
      <w:r>
        <w:rPr>
          <w:b/>
          <w:bCs/>
        </w:rPr>
        <w:t xml:space="preserve">    </w:t>
      </w:r>
      <w:r w:rsidR="00D40AFC">
        <w:rPr>
          <w:b/>
          <w:bCs/>
        </w:rPr>
        <w:t>27</w:t>
      </w:r>
      <w:r w:rsidR="00FF4B6C" w:rsidRPr="00543E45">
        <w:rPr>
          <w:b/>
          <w:bCs/>
        </w:rPr>
        <w:t xml:space="preserve">. Rašinys, kūrybinis darbas: </w:t>
      </w:r>
    </w:p>
    <w:p w:rsidR="00FF4B6C" w:rsidRPr="00543E45" w:rsidRDefault="00D40AFC" w:rsidP="00FF4B6C">
      <w:pPr>
        <w:pStyle w:val="Default"/>
      </w:pPr>
      <w:r>
        <w:t>27</w:t>
      </w:r>
      <w:r w:rsidR="00FF4B6C" w:rsidRPr="00543E45">
        <w:t>.1. Rašomieji darbai rašomi 1-2 pamokas, apie juos pranešama prieš mėnesį,</w:t>
      </w:r>
      <w:r>
        <w:t xml:space="preserve"> </w:t>
      </w:r>
      <w:r w:rsidR="00FF4B6C">
        <w:t xml:space="preserve">fiksuojant e- dienyne, </w:t>
      </w:r>
      <w:r w:rsidR="00FF4B6C" w:rsidRPr="00543E45">
        <w:t xml:space="preserve"> data tikslinama prieš savaitę; </w:t>
      </w:r>
    </w:p>
    <w:p w:rsidR="00FF4B6C" w:rsidRPr="00543E45" w:rsidRDefault="00D40AFC" w:rsidP="00FF4B6C">
      <w:pPr>
        <w:pStyle w:val="Default"/>
      </w:pPr>
      <w:r>
        <w:t>27</w:t>
      </w:r>
      <w:r w:rsidR="00FF4B6C" w:rsidRPr="00543E45">
        <w:t xml:space="preserve">.2. Darbai grąžinami ir įvertinimai paskelbiami per 2 savaites nuo parašymo dienos. </w:t>
      </w:r>
    </w:p>
    <w:p w:rsidR="00FF4B6C" w:rsidRDefault="00E658B7" w:rsidP="00FF4B6C">
      <w:pPr>
        <w:pStyle w:val="Default"/>
        <w:rPr>
          <w:b/>
          <w:bCs/>
        </w:rPr>
      </w:pPr>
      <w:r>
        <w:rPr>
          <w:b/>
          <w:bCs/>
        </w:rPr>
        <w:t xml:space="preserve">    </w:t>
      </w:r>
      <w:r w:rsidR="00D40AFC">
        <w:rPr>
          <w:b/>
          <w:bCs/>
        </w:rPr>
        <w:t>28</w:t>
      </w:r>
      <w:r w:rsidR="00FF4B6C" w:rsidRPr="00543E45">
        <w:rPr>
          <w:b/>
          <w:bCs/>
        </w:rPr>
        <w:t xml:space="preserve">. Laboratoriniai ir praktikos darbai: </w:t>
      </w:r>
    </w:p>
    <w:p w:rsidR="00FF4B6C" w:rsidRPr="00543E45" w:rsidRDefault="00D40AFC" w:rsidP="00FF4B6C">
      <w:pPr>
        <w:pStyle w:val="Default"/>
      </w:pPr>
      <w:r>
        <w:t>28</w:t>
      </w:r>
      <w:r w:rsidR="00FF4B6C" w:rsidRPr="00543E45">
        <w:t xml:space="preserve">.1 Tikrinamieji darbai, trunkantys ne mažiau kaip 35 min., jų metu tikrinami mokinių gebėjimai teorines žinias taikyti praktikoje; </w:t>
      </w:r>
    </w:p>
    <w:p w:rsidR="00FF4B6C" w:rsidRPr="00543E45" w:rsidRDefault="00D40AFC" w:rsidP="00FF4B6C">
      <w:pPr>
        <w:pStyle w:val="Default"/>
      </w:pPr>
      <w:r>
        <w:t>38</w:t>
      </w:r>
      <w:r w:rsidR="00FF4B6C" w:rsidRPr="00543E45">
        <w:t xml:space="preserve">.2 Apie laboratorinį (praktinį) darbą pranešama ne vėliau kaip prieš vieną pamoką, fiksuojant e-dienyne; </w:t>
      </w:r>
    </w:p>
    <w:p w:rsidR="00FF4B6C" w:rsidRPr="00543E45" w:rsidRDefault="00D40AFC" w:rsidP="00FF4B6C">
      <w:pPr>
        <w:pStyle w:val="Default"/>
      </w:pPr>
      <w:r>
        <w:t>28</w:t>
      </w:r>
      <w:r w:rsidR="00FF4B6C" w:rsidRPr="00543E45">
        <w:t xml:space="preserve">.3 Laboratoriniai (praktikos) darbai chemijos, fizikos ir biologijos pamokose vertinami pažymiu; </w:t>
      </w:r>
    </w:p>
    <w:p w:rsidR="00FF4B6C" w:rsidRPr="00543E45" w:rsidRDefault="00E658B7" w:rsidP="00FF4B6C">
      <w:pPr>
        <w:pStyle w:val="Default"/>
      </w:pPr>
      <w:r>
        <w:rPr>
          <w:b/>
          <w:bCs/>
        </w:rPr>
        <w:t xml:space="preserve">    </w:t>
      </w:r>
      <w:r w:rsidR="00D40AFC">
        <w:rPr>
          <w:b/>
          <w:bCs/>
        </w:rPr>
        <w:t>29</w:t>
      </w:r>
      <w:r w:rsidR="00FF4B6C" w:rsidRPr="00543E45">
        <w:rPr>
          <w:b/>
          <w:bCs/>
        </w:rPr>
        <w:t xml:space="preserve">. Projektiniai darbai: </w:t>
      </w:r>
    </w:p>
    <w:p w:rsidR="00FF4B6C" w:rsidRPr="00543E45" w:rsidRDefault="00D40AFC" w:rsidP="00FF4B6C">
      <w:pPr>
        <w:pStyle w:val="Default"/>
      </w:pPr>
      <w:r>
        <w:t>29</w:t>
      </w:r>
      <w:r w:rsidR="00FF4B6C" w:rsidRPr="00543E45">
        <w:t>.1</w:t>
      </w:r>
      <w:r w:rsidR="006414B4">
        <w:t xml:space="preserve"> P</w:t>
      </w:r>
      <w:r w:rsidR="00FF4B6C" w:rsidRPr="00543E45">
        <w:t xml:space="preserve">rojektiniai darbai  rengiami iš vienos temos, bet gali būti integruoti; </w:t>
      </w:r>
    </w:p>
    <w:p w:rsidR="00FF4B6C" w:rsidRPr="00543E45" w:rsidRDefault="00D40AFC" w:rsidP="00FF4B6C">
      <w:pPr>
        <w:pStyle w:val="Default"/>
      </w:pPr>
      <w:r>
        <w:t>29</w:t>
      </w:r>
      <w:r w:rsidR="006414B4">
        <w:t>.2 A</w:t>
      </w:r>
      <w:r w:rsidR="00FF4B6C" w:rsidRPr="00543E45">
        <w:t xml:space="preserve">pie projektinį darbą mokiniai informuojami ne vėliau kaip prieš savaitę, fiksuojant e-dienyne; </w:t>
      </w:r>
    </w:p>
    <w:p w:rsidR="00FF4B6C" w:rsidRPr="00543E45" w:rsidRDefault="00D40AFC" w:rsidP="00FF4B6C">
      <w:pPr>
        <w:pStyle w:val="Default"/>
      </w:pPr>
      <w:r>
        <w:t>29</w:t>
      </w:r>
      <w:r w:rsidR="006414B4">
        <w:t>.3 T</w:t>
      </w:r>
      <w:r w:rsidR="00FF4B6C" w:rsidRPr="00543E45">
        <w:t xml:space="preserve">rumpalaikį projektą gali atlikti 1 mokinys arba mokinių grupė; </w:t>
      </w:r>
    </w:p>
    <w:p w:rsidR="00FF4B6C" w:rsidRPr="00543E45" w:rsidRDefault="00D40AFC" w:rsidP="00FF4B6C">
      <w:pPr>
        <w:pStyle w:val="Default"/>
      </w:pPr>
      <w:r>
        <w:t>29</w:t>
      </w:r>
      <w:r w:rsidR="006414B4">
        <w:t>.4 G</w:t>
      </w:r>
      <w:r w:rsidR="00FF4B6C" w:rsidRPr="00543E45">
        <w:t xml:space="preserve">alutinis vertinimas susideda iš vertinimų, numatytų dalykų metodinių grupių vertinimo tvarkoje; </w:t>
      </w:r>
    </w:p>
    <w:p w:rsidR="00FF4B6C" w:rsidRPr="00543E45" w:rsidRDefault="00D40AFC" w:rsidP="00FF4B6C">
      <w:pPr>
        <w:pStyle w:val="Default"/>
      </w:pPr>
      <w:r>
        <w:t>29</w:t>
      </w:r>
      <w:r w:rsidR="006414B4">
        <w:t>.5 Į</w:t>
      </w:r>
      <w:r w:rsidR="00FF4B6C" w:rsidRPr="00543E45">
        <w:t xml:space="preserve">vertinimas fiksuojamas e-dienyne projekto pristatymo dieną; </w:t>
      </w:r>
    </w:p>
    <w:p w:rsidR="00FF4B6C" w:rsidRPr="00543E45" w:rsidRDefault="00E658B7" w:rsidP="00FF4B6C">
      <w:pPr>
        <w:pStyle w:val="Default"/>
      </w:pPr>
      <w:r>
        <w:rPr>
          <w:b/>
          <w:bCs/>
        </w:rPr>
        <w:lastRenderedPageBreak/>
        <w:t xml:space="preserve">     </w:t>
      </w:r>
      <w:r w:rsidR="00D40AFC">
        <w:rPr>
          <w:b/>
          <w:bCs/>
        </w:rPr>
        <w:t>30</w:t>
      </w:r>
      <w:r w:rsidR="00FF4B6C" w:rsidRPr="00543E45">
        <w:rPr>
          <w:b/>
          <w:bCs/>
        </w:rPr>
        <w:t xml:space="preserve">. Referatai: </w:t>
      </w:r>
    </w:p>
    <w:p w:rsidR="00FF4B6C" w:rsidRPr="00543E45" w:rsidRDefault="00D40AFC" w:rsidP="00FF4B6C">
      <w:pPr>
        <w:pStyle w:val="Default"/>
      </w:pPr>
      <w:r>
        <w:t>30</w:t>
      </w:r>
      <w:r w:rsidR="006414B4">
        <w:t>.1 M</w:t>
      </w:r>
      <w:r w:rsidR="00FF4B6C" w:rsidRPr="00543E45">
        <w:t>okiniai per pusmetį gali rašyti pasirinkta ar nurodyta tema tik 1 mokomojo dalyko referatą;</w:t>
      </w:r>
      <w:r>
        <w:t xml:space="preserve"> 30</w:t>
      </w:r>
      <w:r w:rsidR="006414B4">
        <w:t>.2 P</w:t>
      </w:r>
      <w:r w:rsidR="00FF4B6C" w:rsidRPr="00543E45">
        <w:t xml:space="preserve">ristačius referatą, jo įvertinimas įrašomas į e-dienyną. </w:t>
      </w:r>
    </w:p>
    <w:p w:rsidR="006414B4" w:rsidRDefault="006414B4" w:rsidP="00461EA6">
      <w:pPr>
        <w:rPr>
          <w:b/>
        </w:rPr>
      </w:pPr>
      <w:r>
        <w:t xml:space="preserve"> </w:t>
      </w:r>
      <w:r w:rsidR="00D40AFC" w:rsidRPr="00D40AFC">
        <w:rPr>
          <w:b/>
        </w:rPr>
        <w:t>31. Namų darbų skyrimas</w:t>
      </w:r>
      <w:r w:rsidR="00461EA6" w:rsidRPr="00D40AFC">
        <w:rPr>
          <w:b/>
        </w:rPr>
        <w:t xml:space="preserve"> ir vertin</w:t>
      </w:r>
      <w:r w:rsidR="00D40AFC" w:rsidRPr="00D40AFC">
        <w:rPr>
          <w:b/>
        </w:rPr>
        <w:t>imas</w:t>
      </w:r>
      <w:r w:rsidR="00461EA6" w:rsidRPr="00D40AFC">
        <w:rPr>
          <w:b/>
        </w:rPr>
        <w:t xml:space="preserve">: </w:t>
      </w:r>
    </w:p>
    <w:p w:rsidR="00E658B7" w:rsidRDefault="00D40AFC" w:rsidP="00461EA6">
      <w:pPr>
        <w:rPr>
          <w:b/>
        </w:rPr>
      </w:pPr>
      <w:r>
        <w:t xml:space="preserve"> 31</w:t>
      </w:r>
      <w:r w:rsidR="006414B4">
        <w:t>.1. M</w:t>
      </w:r>
      <w:r w:rsidR="00461EA6">
        <w:t>okytojas su mokiniais susitaria dėl namų darbų skyrimo apimties, užduočių pobūdžio, jų vertinimo ir užrašymo e-dienyne;</w:t>
      </w:r>
    </w:p>
    <w:p w:rsidR="00E658B7" w:rsidRDefault="00D40AFC" w:rsidP="00461EA6">
      <w:pPr>
        <w:rPr>
          <w:b/>
        </w:rPr>
      </w:pPr>
      <w:r>
        <w:t xml:space="preserve"> 31</w:t>
      </w:r>
      <w:r w:rsidR="006414B4">
        <w:t>.2. M</w:t>
      </w:r>
      <w:r w:rsidR="00461EA6">
        <w:t>okytojas gali neskirti namų darbų;</w:t>
      </w:r>
    </w:p>
    <w:p w:rsidR="00461EA6" w:rsidRPr="00E658B7" w:rsidRDefault="006414B4" w:rsidP="00461EA6">
      <w:pPr>
        <w:rPr>
          <w:b/>
        </w:rPr>
      </w:pPr>
      <w:r>
        <w:t xml:space="preserve"> </w:t>
      </w:r>
      <w:r w:rsidR="00D40AFC">
        <w:t xml:space="preserve"> 31</w:t>
      </w:r>
      <w:r>
        <w:t>.3. J</w:t>
      </w:r>
      <w:r w:rsidR="00461EA6">
        <w:t>ei mokytojas skyrė namų darbus, jis juos privalo patikrinti pasirinkta forma (surinkti visų ar dalies mokinių sąsiuvinius, aptarti žodžiu, organizuoti namų darbų aptarimą poroje, grupėje</w:t>
      </w:r>
      <w:r>
        <w:t>.)</w:t>
      </w:r>
      <w:r w:rsidR="00D40AFC">
        <w:t xml:space="preserve">       31</w:t>
      </w:r>
      <w:r>
        <w:t>.4. N</w:t>
      </w:r>
      <w:r w:rsidR="00461EA6">
        <w:t>amų darbai  mokiniams atostogoms yra neskiriami.</w:t>
      </w:r>
    </w:p>
    <w:p w:rsidR="00461EA6" w:rsidRPr="005901B1" w:rsidRDefault="00D40AFC" w:rsidP="00461EA6">
      <w:r w:rsidRPr="005901B1">
        <w:t xml:space="preserve">  </w:t>
      </w:r>
      <w:r w:rsidR="00E658B7">
        <w:t xml:space="preserve">   </w:t>
      </w:r>
      <w:r w:rsidRPr="005901B1">
        <w:t>32</w:t>
      </w:r>
      <w:r w:rsidR="00461EA6" w:rsidRPr="005901B1">
        <w:t>. Vertinimas baigus pusmečio ir mokslo metų programą:</w:t>
      </w:r>
    </w:p>
    <w:p w:rsidR="00F04E3B" w:rsidRPr="00543E45" w:rsidRDefault="00F04E3B" w:rsidP="00F04E3B">
      <w:pPr>
        <w:pStyle w:val="Default"/>
      </w:pPr>
      <w:r>
        <w:t>32.1</w:t>
      </w:r>
      <w:r w:rsidRPr="00543E45">
        <w:t xml:space="preserve">. </w:t>
      </w:r>
      <w:r w:rsidRPr="00F04E3B">
        <w:rPr>
          <w:b/>
        </w:rPr>
        <w:t>Pradinio ugdymo</w:t>
      </w:r>
      <w:r>
        <w:t xml:space="preserve"> </w:t>
      </w:r>
      <w:r w:rsidRPr="00543E45">
        <w:t xml:space="preserve"> mokinių</w:t>
      </w:r>
      <w:r>
        <w:t xml:space="preserve"> pusmečio </w:t>
      </w:r>
      <w:r w:rsidRPr="00543E45">
        <w:t xml:space="preserve"> pasiekimai apibendrinami vertinant mokinio per pusmetį padarytą pažangą, orientuojantis į Bendrojoje programoje aprašytus mokinių pasiekimų lygių požymius ir elektroniniame dienyne mokinių mokymosi pasiekimų apskaitos suvestinės atitinkamose skiltyse įrašomas ugdymo dalykų apibendrintas mokinio pasiekimų lygis (patenkinamas, pagrindinis, aukštesnysis). Mokiniui nepasiekus patenkinamo pasiekimų lygio, įrašomas „nepatenkinamas“. </w:t>
      </w:r>
    </w:p>
    <w:p w:rsidR="00F04E3B" w:rsidRPr="00543E45" w:rsidRDefault="00F906BC" w:rsidP="00F04E3B">
      <w:pPr>
        <w:pStyle w:val="Default"/>
      </w:pPr>
      <w:r>
        <w:t xml:space="preserve"> 32.2</w:t>
      </w:r>
      <w:r w:rsidR="00F04E3B">
        <w:t>.</w:t>
      </w:r>
      <w:r w:rsidR="00F04E3B" w:rsidRPr="00543E45">
        <w:t xml:space="preserve">Dorinio ugdymo pasiekimai įrašomi atitinkamose elektroninio dienyno skiltyse, nurodoma padaryta arba nepadaryta pažanga: „p. p.“ arba „n. p.“. </w:t>
      </w:r>
    </w:p>
    <w:p w:rsidR="00F04E3B" w:rsidRPr="00F906BC" w:rsidRDefault="00F04E3B" w:rsidP="00F906BC">
      <w:pPr>
        <w:pStyle w:val="Default"/>
      </w:pPr>
      <w:r>
        <w:t xml:space="preserve"> </w:t>
      </w:r>
      <w:r w:rsidR="00F906BC">
        <w:t>32.3</w:t>
      </w:r>
      <w:r w:rsidRPr="00543E45">
        <w:t>. Baigus pradinio ugdymo programą rengiamas pradinio ugdymo programos baigimo pasiekimų ir pažangos vertinimo aprašas, jis perduodamas mokyklai, kurioje mokinys mokysis pagal pagrindinio ugdymo programą.</w:t>
      </w:r>
    </w:p>
    <w:p w:rsidR="00E658B7" w:rsidRDefault="006414B4" w:rsidP="00461EA6">
      <w:r>
        <w:t xml:space="preserve">  </w:t>
      </w:r>
      <w:r w:rsidR="00D40AFC">
        <w:t>32</w:t>
      </w:r>
      <w:r w:rsidR="00F906BC">
        <w:t>.4</w:t>
      </w:r>
      <w:r>
        <w:t xml:space="preserve">. </w:t>
      </w:r>
      <w:r w:rsidRPr="00F04E3B">
        <w:rPr>
          <w:b/>
        </w:rPr>
        <w:t>P</w:t>
      </w:r>
      <w:r w:rsidR="00461EA6" w:rsidRPr="00F04E3B">
        <w:rPr>
          <w:b/>
        </w:rPr>
        <w:t>agrindinio ir vidurinio ugdymo</w:t>
      </w:r>
      <w:r w:rsidR="00461EA6">
        <w:t xml:space="preserve"> programos mokinių pusmečio pažymiai vedami iš to pusmečio pažymių aritmetinio vidurkio (4,5 - 5; 4,4 - 4);</w:t>
      </w:r>
    </w:p>
    <w:p w:rsidR="00461EA6" w:rsidRDefault="006414B4" w:rsidP="00461EA6">
      <w:r>
        <w:t xml:space="preserve">  </w:t>
      </w:r>
      <w:r w:rsidR="00D40AFC">
        <w:t>32</w:t>
      </w:r>
      <w:r w:rsidR="00F906BC">
        <w:t>.5</w:t>
      </w:r>
      <w:r>
        <w:t>. M</w:t>
      </w:r>
      <w:r w:rsidR="00461EA6">
        <w:t>etinis pažymys vedamas skaičiuojant visų I  ir II pusmečio pažymių aritmetinį vidurkį, apvalinama atsižvelgiant į individualią mokinio pažangą;</w:t>
      </w:r>
    </w:p>
    <w:p w:rsidR="00461EA6" w:rsidRDefault="00E658B7" w:rsidP="00461EA6">
      <w:r>
        <w:t xml:space="preserve"> </w:t>
      </w:r>
      <w:r w:rsidR="00D40AFC">
        <w:t>32</w:t>
      </w:r>
      <w:r w:rsidR="00F906BC">
        <w:t>.6</w:t>
      </w:r>
      <w:r w:rsidR="006414B4">
        <w:t>. J</w:t>
      </w:r>
      <w:r w:rsidR="00461EA6">
        <w:t>ei mokinys neatliko mokyklos numatytu laiku vertinimo užduočių (kontrolinių darbų ir kt.) dėl svarbių, mokyklos vadovo pateisintų priežasčių (pavyzdžiui, ligos), ugdymo laikotarpio pabaigoje fiksuojamas įrašas „atleista“. Tokiais atvejais mokiniams, sugrįžusiems į ugdymo procesą,  suteikiama reikiama mokymosi pagalba.</w:t>
      </w:r>
    </w:p>
    <w:p w:rsidR="00E658B7" w:rsidRDefault="00F906BC" w:rsidP="00461EA6">
      <w:r>
        <w:t>32.7</w:t>
      </w:r>
      <w:r w:rsidR="00461EA6">
        <w:t>. Jei mokiniui skiriami papildomi darbai, tai papildomų darbų įvertinimas yra laikomas metiniu įvertinimu;</w:t>
      </w:r>
    </w:p>
    <w:p w:rsidR="00461EA6" w:rsidRDefault="00F906BC" w:rsidP="00461EA6">
      <w:r>
        <w:t xml:space="preserve"> 32.8</w:t>
      </w:r>
      <w:r w:rsidR="006414B4">
        <w:t>. D</w:t>
      </w:r>
      <w:r w:rsidR="00461EA6">
        <w:t xml:space="preserve">ėl papildomų darbų tvarkaraščio mokinys tariasi su mokytoju. Klasės vadovas apie mokiniui skirtus papildomus darbus, jų tvarkaraštį informuoja mokinio tėvus. Prireikus atsiskaitymo datą nustato Mokytojų taryba, bet ne vėlesnę kaip rugpjūčio 31 d.;     </w:t>
      </w:r>
    </w:p>
    <w:p w:rsidR="00461EA6" w:rsidRDefault="00F04E3B" w:rsidP="00461EA6">
      <w:r>
        <w:t xml:space="preserve"> </w:t>
      </w:r>
      <w:r w:rsidR="00F906BC">
        <w:t>32.9</w:t>
      </w:r>
      <w:r w:rsidR="006414B4">
        <w:t>. M</w:t>
      </w:r>
      <w:r w:rsidR="00461EA6">
        <w:t>okiniams, baigiantiems pagrindinio ugdymo programą,  vykdomas užsienio kalbos mokėjimo lygio nustatymo testas.</w:t>
      </w:r>
    </w:p>
    <w:p w:rsidR="00F906BC" w:rsidRDefault="00F906BC" w:rsidP="00461EA6"/>
    <w:p w:rsidR="00461EA6" w:rsidRDefault="006414B4" w:rsidP="00461EA6">
      <w:r>
        <w:t xml:space="preserve">  </w:t>
      </w:r>
      <w:r w:rsidR="001379A4">
        <w:t xml:space="preserve"> 33</w:t>
      </w:r>
      <w:r w:rsidR="00461EA6">
        <w:t>. Mokyklai dalyvaujant Nacionaliniame mokinių pasiekimų patikrinime, mokinio pasiekimų rezultatai neįskaičiuojami į pusmečio įvertinimą.</w:t>
      </w:r>
    </w:p>
    <w:p w:rsidR="00F906BC" w:rsidRPr="00543E45" w:rsidRDefault="00E658B7" w:rsidP="00F906BC">
      <w:pPr>
        <w:pStyle w:val="Default"/>
      </w:pPr>
      <w:r>
        <w:lastRenderedPageBreak/>
        <w:t xml:space="preserve">     </w:t>
      </w:r>
    </w:p>
    <w:p w:rsidR="00461EA6" w:rsidRDefault="00461EA6" w:rsidP="00461EA6"/>
    <w:p w:rsidR="00461EA6" w:rsidRDefault="00461EA6" w:rsidP="00F04E3B">
      <w:pPr>
        <w:jc w:val="center"/>
      </w:pPr>
      <w:r>
        <w:t>V. VERTINIMO DALYVIAI IR JŲ VAIDMUO</w:t>
      </w:r>
    </w:p>
    <w:p w:rsidR="00F906BC" w:rsidRDefault="00F906BC" w:rsidP="00F04E3B">
      <w:pPr>
        <w:jc w:val="center"/>
      </w:pPr>
    </w:p>
    <w:p w:rsidR="00461EA6" w:rsidRDefault="006414B4" w:rsidP="00461EA6">
      <w:r>
        <w:t xml:space="preserve">  </w:t>
      </w:r>
      <w:r w:rsidR="00461EA6">
        <w:t xml:space="preserve">  1. Mokiniai kartu su mokytojais aptaria vertinimo kriterijus, vertinimo sistemą, mokosi vertinti ir įsivertinti savo pasiekimus ir pažangą.</w:t>
      </w:r>
    </w:p>
    <w:p w:rsidR="006414B4" w:rsidRDefault="006414B4" w:rsidP="00461EA6">
      <w:r>
        <w:t xml:space="preserve">  </w:t>
      </w:r>
      <w:r w:rsidR="00461EA6">
        <w:t xml:space="preserve"> 2. Mokinių tėvai (globėjai, rūpintojai) elektroniniame dienyne nuolat stebi vaiko mokymosi pažangą ir pasiekimus, domisi vertinimo kriterijais, tvarka, dalyvauja gimnazijos organizuojamuose renginiuose, klasės tėvų, tėvų komiteto susirinkimuose, individualiuose pokalbiuose su mokytojais. </w:t>
      </w:r>
    </w:p>
    <w:p w:rsidR="00461EA6" w:rsidRDefault="006414B4" w:rsidP="00461EA6">
      <w:r>
        <w:t xml:space="preserve">    </w:t>
      </w:r>
      <w:r w:rsidR="00461EA6">
        <w:t>3. Mokytojai planuoja ir atlieka mokinių pažangos ir pasiekimų vertinimą ugdymo procese, renka ir fiksuoja vertinimo informaciją, informuoja mokinius, jų tėvus (globėjus, rūpintojus), kitus mokytojus, gimnazijos administraciją apie mokinių pasiekimus, spragas, rūpinasi pagalba mokiniams, kurie turi mokymosi sunkumų, derina tarpusavyje mokinių pažangos ir pasiekimų vertinimo metodikas, vadovaujantis Lietuvos Respublikos asmens duomenų teisinės apsaugos įstatymo reikalavimais.</w:t>
      </w:r>
    </w:p>
    <w:p w:rsidR="00461EA6" w:rsidRDefault="006414B4" w:rsidP="00461EA6">
      <w:r>
        <w:t xml:space="preserve">  </w:t>
      </w:r>
      <w:r w:rsidR="00461EA6">
        <w:t xml:space="preserve"> 4. Gimnazijos vadovai prižiūri pažangos ir pasiekimų vertinimo informacijos rinkimo, fiksavimo bei panaudojimo įgyvendinimą, du ar tris kartus per metus organizuoja mokinių pasiekimų </w:t>
      </w:r>
      <w:proofErr w:type="spellStart"/>
      <w:r w:rsidR="00461EA6">
        <w:t>aptarimus</w:t>
      </w:r>
      <w:proofErr w:type="spellEnd"/>
      <w:r w:rsidR="00461EA6">
        <w:t xml:space="preserve"> su mokinių tėvais, koordinuoja pagalbą mokymosi sunkumų turintiems mokiniams, remdamiesi mokinių pasiekimais, vertina mokytojų darbo kokybę.</w:t>
      </w:r>
    </w:p>
    <w:p w:rsidR="001379A4" w:rsidRDefault="001379A4" w:rsidP="00461EA6"/>
    <w:p w:rsidR="001379A4" w:rsidRPr="001379A4" w:rsidRDefault="001379A4" w:rsidP="00461EA6"/>
    <w:sectPr w:rsidR="001379A4" w:rsidRPr="001379A4" w:rsidSect="00A1557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344AC"/>
    <w:multiLevelType w:val="hybridMultilevel"/>
    <w:tmpl w:val="F514CB0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A6"/>
    <w:rsid w:val="00057678"/>
    <w:rsid w:val="00105342"/>
    <w:rsid w:val="001379A4"/>
    <w:rsid w:val="00144517"/>
    <w:rsid w:val="001A35CA"/>
    <w:rsid w:val="001C228E"/>
    <w:rsid w:val="00202BC0"/>
    <w:rsid w:val="0023322A"/>
    <w:rsid w:val="00253125"/>
    <w:rsid w:val="002A0837"/>
    <w:rsid w:val="00317452"/>
    <w:rsid w:val="00461EA6"/>
    <w:rsid w:val="00487EDD"/>
    <w:rsid w:val="004E46EA"/>
    <w:rsid w:val="00502B3A"/>
    <w:rsid w:val="005542A4"/>
    <w:rsid w:val="00557619"/>
    <w:rsid w:val="005901B1"/>
    <w:rsid w:val="005B7F9E"/>
    <w:rsid w:val="005E2A55"/>
    <w:rsid w:val="006414B4"/>
    <w:rsid w:val="006D488C"/>
    <w:rsid w:val="006D5C34"/>
    <w:rsid w:val="00770C9D"/>
    <w:rsid w:val="007E1F9A"/>
    <w:rsid w:val="007F1380"/>
    <w:rsid w:val="008425F5"/>
    <w:rsid w:val="008D1469"/>
    <w:rsid w:val="00916671"/>
    <w:rsid w:val="009314F2"/>
    <w:rsid w:val="009F0AC7"/>
    <w:rsid w:val="009F3B83"/>
    <w:rsid w:val="00A15572"/>
    <w:rsid w:val="00A561F2"/>
    <w:rsid w:val="00A615E1"/>
    <w:rsid w:val="00A74E6A"/>
    <w:rsid w:val="00B01B6C"/>
    <w:rsid w:val="00B80146"/>
    <w:rsid w:val="00B94F30"/>
    <w:rsid w:val="00BB4349"/>
    <w:rsid w:val="00BD67A6"/>
    <w:rsid w:val="00C54EE3"/>
    <w:rsid w:val="00D27708"/>
    <w:rsid w:val="00D40AFC"/>
    <w:rsid w:val="00DE4AF7"/>
    <w:rsid w:val="00E47AA4"/>
    <w:rsid w:val="00E658B7"/>
    <w:rsid w:val="00E805BD"/>
    <w:rsid w:val="00EB26BE"/>
    <w:rsid w:val="00EC6A47"/>
    <w:rsid w:val="00F04E3B"/>
    <w:rsid w:val="00F20495"/>
    <w:rsid w:val="00F510D5"/>
    <w:rsid w:val="00F51B42"/>
    <w:rsid w:val="00F663F6"/>
    <w:rsid w:val="00F7100C"/>
    <w:rsid w:val="00F906BC"/>
    <w:rsid w:val="00F927F5"/>
    <w:rsid w:val="00FF4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E9F8F-10AA-4588-AA31-043B0A0B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561F2"/>
    <w:pPr>
      <w:spacing w:after="0" w:line="240" w:lineRule="auto"/>
    </w:pPr>
    <w:rPr>
      <w:rFonts w:eastAsia="Times New Roman" w:cs="Times New Roman"/>
      <w:color w:val="4A4A4A"/>
      <w:szCs w:val="24"/>
      <w:lang w:eastAsia="lt-LT"/>
    </w:rPr>
  </w:style>
  <w:style w:type="character" w:styleId="Grietas">
    <w:name w:val="Strong"/>
    <w:basedOn w:val="Numatytasispastraiposriftas"/>
    <w:uiPriority w:val="22"/>
    <w:qFormat/>
    <w:rsid w:val="00A561F2"/>
    <w:rPr>
      <w:b/>
      <w:bCs/>
    </w:rPr>
  </w:style>
  <w:style w:type="paragraph" w:customStyle="1" w:styleId="Default">
    <w:name w:val="Default"/>
    <w:rsid w:val="00B01B6C"/>
    <w:pPr>
      <w:autoSpaceDE w:val="0"/>
      <w:autoSpaceDN w:val="0"/>
      <w:adjustRightInd w:val="0"/>
      <w:spacing w:after="0" w:line="240" w:lineRule="auto"/>
    </w:pPr>
    <w:rPr>
      <w:rFonts w:cs="Times New Roman"/>
      <w:color w:val="000000"/>
      <w:szCs w:val="24"/>
    </w:rPr>
  </w:style>
  <w:style w:type="table" w:styleId="Lentelstinklelis">
    <w:name w:val="Table Grid"/>
    <w:basedOn w:val="prastojilentel"/>
    <w:uiPriority w:val="59"/>
    <w:rsid w:val="009F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70848">
      <w:bodyDiv w:val="1"/>
      <w:marLeft w:val="0"/>
      <w:marRight w:val="0"/>
      <w:marTop w:val="0"/>
      <w:marBottom w:val="0"/>
      <w:divBdr>
        <w:top w:val="none" w:sz="0" w:space="0" w:color="auto"/>
        <w:left w:val="none" w:sz="0" w:space="0" w:color="auto"/>
        <w:bottom w:val="none" w:sz="0" w:space="0" w:color="auto"/>
        <w:right w:val="none" w:sz="0" w:space="0" w:color="auto"/>
      </w:divBdr>
      <w:divsChild>
        <w:div w:id="181922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16621</Words>
  <Characters>9474</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Daiva Bruziene</cp:lastModifiedBy>
  <cp:revision>17</cp:revision>
  <dcterms:created xsi:type="dcterms:W3CDTF">2017-10-17T11:56:00Z</dcterms:created>
  <dcterms:modified xsi:type="dcterms:W3CDTF">2021-01-07T07:51:00Z</dcterms:modified>
</cp:coreProperties>
</file>