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40" w:rsidRPr="006B2640" w:rsidRDefault="006B2640" w:rsidP="006B2640">
      <w:pPr>
        <w:jc w:val="both"/>
        <w:rPr>
          <w:rFonts w:ascii="Times New Roman" w:hAnsi="Times New Roman"/>
        </w:rPr>
      </w:pPr>
      <w:r w:rsidRPr="006B2640">
        <w:rPr>
          <w:rFonts w:ascii="Times New Roman" w:hAnsi="Times New Roman"/>
        </w:rPr>
        <w:t xml:space="preserve">                                                                                   </w:t>
      </w:r>
      <w:r w:rsidR="00860BA0">
        <w:rPr>
          <w:rFonts w:ascii="Times New Roman" w:hAnsi="Times New Roman"/>
        </w:rPr>
        <w:t xml:space="preserve">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6B2640">
        <w:rPr>
          <w:rFonts w:ascii="Times New Roman" w:hAnsi="Times New Roman"/>
        </w:rPr>
        <w:t>PATVIRTINTA</w:t>
      </w:r>
    </w:p>
    <w:p w:rsidR="006B2640" w:rsidRPr="006B2640" w:rsidRDefault="006B2640" w:rsidP="006B2640">
      <w:pPr>
        <w:jc w:val="both"/>
        <w:rPr>
          <w:rFonts w:ascii="Times New Roman" w:hAnsi="Times New Roman"/>
        </w:rPr>
      </w:pPr>
      <w:r w:rsidRPr="006B2640">
        <w:rPr>
          <w:rFonts w:ascii="Times New Roman" w:hAnsi="Times New Roman"/>
        </w:rPr>
        <w:t xml:space="preserve">                                                                                 </w:t>
      </w:r>
      <w:r w:rsidR="00860BA0">
        <w:rPr>
          <w:rFonts w:ascii="Times New Roman" w:hAnsi="Times New Roman"/>
        </w:rPr>
        <w:t xml:space="preserve">      </w:t>
      </w:r>
      <w:r w:rsidRPr="006B2640">
        <w:rPr>
          <w:rFonts w:ascii="Times New Roman" w:hAnsi="Times New Roman"/>
        </w:rPr>
        <w:t xml:space="preserve"> </w:t>
      </w:r>
      <w:proofErr w:type="spellStart"/>
      <w:r w:rsidRPr="006B2640">
        <w:rPr>
          <w:rFonts w:ascii="Times New Roman" w:hAnsi="Times New Roman"/>
        </w:rPr>
        <w:t>Sedos</w:t>
      </w:r>
      <w:proofErr w:type="spellEnd"/>
      <w:r w:rsidRPr="006B2640">
        <w:rPr>
          <w:rFonts w:ascii="Times New Roman" w:hAnsi="Times New Roman"/>
        </w:rPr>
        <w:t xml:space="preserve"> </w:t>
      </w:r>
      <w:proofErr w:type="spellStart"/>
      <w:r w:rsidRPr="006B2640">
        <w:rPr>
          <w:rFonts w:ascii="Times New Roman" w:hAnsi="Times New Roman"/>
        </w:rPr>
        <w:t>Vytauto</w:t>
      </w:r>
      <w:proofErr w:type="spellEnd"/>
      <w:r w:rsidRPr="006B2640">
        <w:rPr>
          <w:rFonts w:ascii="Times New Roman" w:hAnsi="Times New Roman"/>
        </w:rPr>
        <w:t xml:space="preserve"> </w:t>
      </w:r>
      <w:proofErr w:type="spellStart"/>
      <w:r w:rsidRPr="006B2640">
        <w:rPr>
          <w:rFonts w:ascii="Times New Roman" w:hAnsi="Times New Roman"/>
        </w:rPr>
        <w:t>Mačernio</w:t>
      </w:r>
      <w:proofErr w:type="spellEnd"/>
      <w:r w:rsidRPr="006B2640">
        <w:rPr>
          <w:rFonts w:ascii="Times New Roman" w:hAnsi="Times New Roman"/>
        </w:rPr>
        <w:t xml:space="preserve"> </w:t>
      </w:r>
      <w:proofErr w:type="spellStart"/>
      <w:r w:rsidRPr="006B2640">
        <w:rPr>
          <w:rFonts w:ascii="Times New Roman" w:hAnsi="Times New Roman"/>
        </w:rPr>
        <w:t>gimnazijos</w:t>
      </w:r>
      <w:proofErr w:type="spellEnd"/>
    </w:p>
    <w:p w:rsidR="00655ED3" w:rsidRPr="00707444" w:rsidRDefault="006B2640" w:rsidP="006B2640">
      <w:pPr>
        <w:tabs>
          <w:tab w:val="left" w:pos="720"/>
          <w:tab w:val="left" w:pos="1980"/>
        </w:tabs>
        <w:jc w:val="right"/>
        <w:rPr>
          <w:rStyle w:val="FontStyle56"/>
          <w:sz w:val="24"/>
          <w:szCs w:val="24"/>
          <w:lang w:val="lt-LT" w:eastAsia="lt-LT"/>
        </w:rPr>
      </w:pPr>
      <w:r w:rsidRPr="006B2640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</w:t>
      </w:r>
      <w:proofErr w:type="spellStart"/>
      <w:proofErr w:type="gramStart"/>
      <w:r w:rsidRPr="006B2640">
        <w:rPr>
          <w:rFonts w:ascii="Times New Roman" w:hAnsi="Times New Roman"/>
        </w:rPr>
        <w:t>direktoriaus</w:t>
      </w:r>
      <w:proofErr w:type="spellEnd"/>
      <w:proofErr w:type="gramEnd"/>
      <w:r w:rsidRPr="006B264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7 m. </w:t>
      </w:r>
      <w:proofErr w:type="spellStart"/>
      <w:r>
        <w:rPr>
          <w:rFonts w:ascii="Times New Roman" w:hAnsi="Times New Roman"/>
        </w:rPr>
        <w:t>rugsėjo</w:t>
      </w:r>
      <w:proofErr w:type="spellEnd"/>
      <w:r>
        <w:rPr>
          <w:rFonts w:ascii="Times New Roman" w:hAnsi="Times New Roman"/>
        </w:rPr>
        <w:t xml:space="preserve"> </w:t>
      </w:r>
      <w:r w:rsidR="004C1C2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įsakymu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V-28</w:t>
      </w:r>
      <w:r w:rsidRPr="006B2640">
        <w:rPr>
          <w:rFonts w:ascii="Times New Roman" w:hAnsi="Times New Roman"/>
        </w:rPr>
        <w:t xml:space="preserve"> -</w:t>
      </w:r>
      <w:r w:rsidR="00F30EC8" w:rsidRPr="006B2640">
        <w:rPr>
          <w:rStyle w:val="FontStyle56"/>
          <w:sz w:val="24"/>
          <w:szCs w:val="24"/>
          <w:lang w:val="lt-LT" w:eastAsia="lt-LT"/>
        </w:rPr>
        <w:t xml:space="preserve"> </w:t>
      </w:r>
      <w:r>
        <w:rPr>
          <w:rStyle w:val="FontStyle56"/>
          <w:sz w:val="24"/>
          <w:szCs w:val="24"/>
          <w:lang w:val="lt-LT" w:eastAsia="lt-LT"/>
        </w:rPr>
        <w:t>2</w:t>
      </w:r>
      <w:r w:rsidR="00F30EC8" w:rsidRPr="006B2640">
        <w:rPr>
          <w:rStyle w:val="FontStyle56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</w:t>
      </w:r>
      <w:r w:rsidR="00963F7C" w:rsidRPr="006B2640">
        <w:rPr>
          <w:rStyle w:val="FontStyle56"/>
          <w:sz w:val="24"/>
          <w:szCs w:val="24"/>
          <w:lang w:val="lt-LT" w:eastAsia="lt-LT"/>
        </w:rPr>
        <w:t xml:space="preserve">            </w:t>
      </w:r>
    </w:p>
    <w:p w:rsidR="00655ED3" w:rsidRDefault="00655ED3" w:rsidP="00655ED3">
      <w:pPr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707444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3207D2" w:rsidRDefault="003207D2" w:rsidP="003207D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</w:rPr>
        <w:t xml:space="preserve">SEDOS VYTAUTO MAČERNIO GIMNAZIJOS </w:t>
      </w:r>
      <w:r w:rsidRPr="009D6B1F">
        <w:rPr>
          <w:rStyle w:val="Grietas"/>
        </w:rPr>
        <w:t>MOKINIŲ</w:t>
      </w:r>
    </w:p>
    <w:p w:rsidR="003207D2" w:rsidRDefault="003207D2" w:rsidP="003207D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  <w:r w:rsidRPr="009D6B1F">
        <w:rPr>
          <w:rStyle w:val="Grietas"/>
        </w:rPr>
        <w:t>BENDROJO UGDYMO</w:t>
      </w:r>
      <w:r w:rsidRPr="009D6B1F">
        <w:t xml:space="preserve"> </w:t>
      </w:r>
      <w:r w:rsidRPr="009D6B1F">
        <w:rPr>
          <w:rStyle w:val="Grietas"/>
        </w:rPr>
        <w:t xml:space="preserve">DALYKO PROGRAMOS, DALYKO KURSO/KALBOS MOKĖJIMO LYGIO, </w:t>
      </w:r>
      <w:r>
        <w:rPr>
          <w:rStyle w:val="Grietas"/>
        </w:rPr>
        <w:t xml:space="preserve">PASIRENKAMOJO </w:t>
      </w:r>
      <w:r w:rsidRPr="009D6B1F">
        <w:rPr>
          <w:rStyle w:val="Grietas"/>
        </w:rPr>
        <w:t xml:space="preserve">DALYKO </w:t>
      </w:r>
      <w:r w:rsidR="005329B6">
        <w:rPr>
          <w:rStyle w:val="Grietas"/>
        </w:rPr>
        <w:t xml:space="preserve">AR </w:t>
      </w:r>
      <w:r>
        <w:rPr>
          <w:rStyle w:val="Grietas"/>
        </w:rPr>
        <w:t xml:space="preserve"> DALYKO </w:t>
      </w:r>
      <w:r w:rsidRPr="009D6B1F">
        <w:rPr>
          <w:rStyle w:val="Grietas"/>
        </w:rPr>
        <w:t>MODULIO KEITIMO TVARKA</w:t>
      </w:r>
    </w:p>
    <w:p w:rsidR="003207D2" w:rsidRPr="002A0864" w:rsidRDefault="003207D2" w:rsidP="003207D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207D2" w:rsidRPr="002A0864" w:rsidRDefault="003207D2" w:rsidP="003207D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207D2" w:rsidRPr="00AC78ED" w:rsidRDefault="00AC78ED" w:rsidP="00814CAC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1.</w:t>
      </w:r>
      <w:r w:rsidR="003207D2" w:rsidRPr="00AC78ED">
        <w:rPr>
          <w:rFonts w:ascii="Times New Roman" w:hAnsi="Times New Roman"/>
          <w:sz w:val="24"/>
          <w:szCs w:val="24"/>
        </w:rPr>
        <w:t xml:space="preserve">Ši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tvarka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reglamentuoja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mokinių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besimokančių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pagal vidurinio ugdymo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programą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bendrojo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ugdymo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dalyko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programos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dalyko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kurso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>/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kalbos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mokėjimo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lygio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pasirenkamojo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dalyko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ar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dalyko</w:t>
      </w:r>
      <w:proofErr w:type="spellEnd"/>
      <w:r w:rsidR="003207D2" w:rsidRPr="00AC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2" w:rsidRPr="00AC78ED">
        <w:rPr>
          <w:rFonts w:ascii="Times New Roman" w:hAnsi="Times New Roman"/>
          <w:sz w:val="24"/>
          <w:szCs w:val="24"/>
        </w:rPr>
        <w:t>moduli</w:t>
      </w:r>
      <w:r w:rsidR="00814CAC">
        <w:rPr>
          <w:rFonts w:ascii="Times New Roman" w:hAnsi="Times New Roman"/>
          <w:sz w:val="24"/>
          <w:szCs w:val="24"/>
        </w:rPr>
        <w:t>o</w:t>
      </w:r>
      <w:proofErr w:type="spellEnd"/>
      <w:r w:rsidR="00814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AC">
        <w:rPr>
          <w:rFonts w:ascii="Times New Roman" w:hAnsi="Times New Roman"/>
          <w:sz w:val="24"/>
          <w:szCs w:val="24"/>
        </w:rPr>
        <w:t>keitimo</w:t>
      </w:r>
      <w:proofErr w:type="spellEnd"/>
      <w:r w:rsidR="00814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AC">
        <w:rPr>
          <w:rFonts w:ascii="Times New Roman" w:hAnsi="Times New Roman"/>
          <w:sz w:val="24"/>
          <w:szCs w:val="24"/>
        </w:rPr>
        <w:t>tvarką</w:t>
      </w:r>
      <w:proofErr w:type="spellEnd"/>
      <w:r w:rsidR="00814CAC">
        <w:rPr>
          <w:rFonts w:ascii="Times New Roman" w:hAnsi="Times New Roman"/>
          <w:sz w:val="24"/>
          <w:szCs w:val="24"/>
        </w:rPr>
        <w:t>.</w:t>
      </w:r>
    </w:p>
    <w:p w:rsidR="003207D2" w:rsidRDefault="00AC78ED" w:rsidP="00AC78ED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2.</w:t>
      </w:r>
      <w:r w:rsidR="003207D2">
        <w:t xml:space="preserve">Tvarka parengta vadovaujantis Pagrindinio </w:t>
      </w:r>
      <w:r w:rsidR="009C6A0D">
        <w:t>,</w:t>
      </w:r>
      <w:r w:rsidR="003207D2">
        <w:t>Vidurinio ugdymo programos aprašu, patvirtintu Lietuvos Respublikos švietimo ir mokslo ministro 2015 m. gruodžio 21 d. įsakymu Nr. ISAK-1309 ir 2017-2018</w:t>
      </w:r>
      <w:r w:rsidR="005329B6">
        <w:t xml:space="preserve"> metų Pagrindinio ir V</w:t>
      </w:r>
      <w:r w:rsidR="003207D2" w:rsidRPr="009D6B1F">
        <w:t xml:space="preserve">idurinio ugdymo programų bendraisiais ugdymo planais, patvirtintais Lietuvos Respublikos </w:t>
      </w:r>
      <w:r w:rsidR="003207D2">
        <w:t>švietimo ir mokslo ministro 2017 m. birželio 2 d. įsakymu Nr. V–442</w:t>
      </w:r>
      <w:r w:rsidR="003207D2" w:rsidRPr="009D6B1F">
        <w:t>.</w:t>
      </w:r>
    </w:p>
    <w:p w:rsidR="00655ED3" w:rsidRPr="00814CAC" w:rsidRDefault="00814CAC" w:rsidP="00814CAC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AC78ED"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Sudarant galimybes mokiniams </w:t>
      </w:r>
      <w:r w:rsidRPr="00AC78ED">
        <w:rPr>
          <w:rFonts w:ascii="Times New Roman" w:eastAsiaTheme="minorHAnsi" w:hAnsi="Times New Roman"/>
          <w:sz w:val="24"/>
          <w:szCs w:val="24"/>
          <w:lang w:val="lt-LT"/>
        </w:rPr>
        <w:t>optimaliau išnaudoti savo gebėj</w:t>
      </w:r>
      <w:r>
        <w:rPr>
          <w:rFonts w:ascii="Times New Roman" w:eastAsiaTheme="minorHAnsi" w:hAnsi="Times New Roman"/>
          <w:sz w:val="24"/>
          <w:szCs w:val="24"/>
          <w:lang w:val="lt-LT"/>
        </w:rPr>
        <w:t>imus, polinkius, turimą patirtį, reguliuoti mokymosi krūvius,</w:t>
      </w:r>
      <w:r w:rsidRPr="00AC78ED">
        <w:rPr>
          <w:rFonts w:ascii="Times New Roman" w:eastAsiaTheme="minorHAnsi" w:hAnsi="Times New Roman"/>
          <w:sz w:val="24"/>
          <w:szCs w:val="24"/>
          <w:lang w:val="lt-LT"/>
        </w:rPr>
        <w:t xml:space="preserve"> pasirinkti interesus ir geriau individualų mokymosi </w:t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stilių atitinkančias  programas, išvengti mokymosi nesėkmių, </w:t>
      </w:r>
      <w:r w:rsidRPr="00AC78ED">
        <w:rPr>
          <w:rFonts w:ascii="Times New Roman" w:eastAsiaTheme="minorHAnsi" w:hAnsi="Times New Roman"/>
          <w:sz w:val="24"/>
          <w:szCs w:val="24"/>
          <w:lang w:val="lt-LT"/>
        </w:rPr>
        <w:t>atsakingai ir kryptingai ugdytis siekiant sąmoningai užsibrėžtų tikslų ir karjeros</w:t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okiniai gali:</w:t>
      </w:r>
    </w:p>
    <w:p w:rsidR="00655ED3" w:rsidRPr="00707444" w:rsidRDefault="00655ED3" w:rsidP="00655ED3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707444">
        <w:rPr>
          <w:rFonts w:ascii="Times New Roman" w:hAnsi="Times New Roman"/>
          <w:sz w:val="24"/>
          <w:szCs w:val="24"/>
          <w:lang w:val="lt-LT"/>
        </w:rPr>
        <w:t>keisti dalyko programos kursą,</w:t>
      </w:r>
      <w:r w:rsidR="00814CAC" w:rsidRPr="00814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AC">
        <w:rPr>
          <w:rFonts w:ascii="Times New Roman" w:hAnsi="Times New Roman"/>
          <w:sz w:val="24"/>
          <w:szCs w:val="24"/>
        </w:rPr>
        <w:t>kalbos</w:t>
      </w:r>
      <w:proofErr w:type="spellEnd"/>
      <w:r w:rsidR="00814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AC">
        <w:rPr>
          <w:rFonts w:ascii="Times New Roman" w:hAnsi="Times New Roman"/>
          <w:sz w:val="24"/>
          <w:szCs w:val="24"/>
        </w:rPr>
        <w:t>mokėjimo</w:t>
      </w:r>
      <w:proofErr w:type="spellEnd"/>
      <w:r w:rsidR="00814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AC">
        <w:rPr>
          <w:rFonts w:ascii="Times New Roman" w:hAnsi="Times New Roman"/>
          <w:sz w:val="24"/>
          <w:szCs w:val="24"/>
        </w:rPr>
        <w:t>lygį</w:t>
      </w:r>
      <w:proofErr w:type="spellEnd"/>
      <w:r w:rsidR="00814CAC">
        <w:rPr>
          <w:rFonts w:ascii="Times New Roman" w:hAnsi="Times New Roman"/>
          <w:sz w:val="24"/>
          <w:szCs w:val="24"/>
        </w:rPr>
        <w:t>,</w:t>
      </w:r>
      <w:r w:rsidRPr="0070744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55ED3" w:rsidRPr="00707444" w:rsidRDefault="00655ED3" w:rsidP="00655ED3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707444">
        <w:rPr>
          <w:rFonts w:ascii="Times New Roman" w:hAnsi="Times New Roman"/>
          <w:sz w:val="24"/>
          <w:szCs w:val="24"/>
          <w:lang w:val="lt-LT"/>
        </w:rPr>
        <w:t>rinktis pasirenkamąjį dalyką arba jo nebesimokyti,</w:t>
      </w:r>
    </w:p>
    <w:p w:rsidR="00655ED3" w:rsidRPr="00707444" w:rsidRDefault="00655ED3" w:rsidP="00655ED3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707444">
        <w:rPr>
          <w:rFonts w:ascii="Times New Roman" w:hAnsi="Times New Roman"/>
          <w:sz w:val="24"/>
          <w:szCs w:val="24"/>
          <w:lang w:val="lt-LT"/>
        </w:rPr>
        <w:t xml:space="preserve">rinktis </w:t>
      </w:r>
      <w:r w:rsidR="005329B6">
        <w:rPr>
          <w:rFonts w:ascii="Times New Roman" w:hAnsi="Times New Roman"/>
          <w:sz w:val="24"/>
          <w:szCs w:val="24"/>
          <w:lang w:val="lt-LT"/>
        </w:rPr>
        <w:t xml:space="preserve"> dalyko </w:t>
      </w:r>
      <w:r w:rsidRPr="00707444">
        <w:rPr>
          <w:rFonts w:ascii="Times New Roman" w:hAnsi="Times New Roman"/>
          <w:sz w:val="24"/>
          <w:szCs w:val="24"/>
          <w:lang w:val="lt-LT"/>
        </w:rPr>
        <w:t>modulį arba jo nebesimokyti.</w:t>
      </w:r>
    </w:p>
    <w:p w:rsidR="00655ED3" w:rsidRPr="00707444" w:rsidRDefault="00814CAC" w:rsidP="00655ED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. Mokinys individualų ugdymo planą gali keisti:</w:t>
      </w:r>
    </w:p>
    <w:p w:rsidR="00655ED3" w:rsidRPr="00707444" w:rsidRDefault="00655ED3" w:rsidP="00655ED3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707444">
        <w:rPr>
          <w:rFonts w:ascii="Times New Roman" w:hAnsi="Times New Roman"/>
          <w:sz w:val="24"/>
          <w:szCs w:val="24"/>
          <w:lang w:val="lt-LT"/>
        </w:rPr>
        <w:t>III klasėje pirmojo pusmečio pabaigoje,</w:t>
      </w:r>
    </w:p>
    <w:p w:rsidR="00655ED3" w:rsidRPr="00707444" w:rsidRDefault="00655ED3" w:rsidP="00655ED3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707444">
        <w:rPr>
          <w:rFonts w:ascii="Times New Roman" w:hAnsi="Times New Roman"/>
          <w:sz w:val="24"/>
          <w:szCs w:val="24"/>
          <w:lang w:val="lt-LT"/>
        </w:rPr>
        <w:t>III klasėje antrojo pusmečio pabaigoje,</w:t>
      </w:r>
    </w:p>
    <w:p w:rsidR="00655ED3" w:rsidRPr="00814CAC" w:rsidRDefault="00F30EC8" w:rsidP="00655ED3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IV klasėje  pirmojo pusmečio pabaigoje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.</w:t>
      </w:r>
    </w:p>
    <w:p w:rsidR="00655ED3" w:rsidRDefault="00814CAC" w:rsidP="00655ED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Keitimo tvarka:</w:t>
      </w:r>
    </w:p>
    <w:p w:rsidR="00963F7C" w:rsidRPr="00707444" w:rsidRDefault="00814CAC" w:rsidP="00814CAC">
      <w:pPr>
        <w:widowControl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5. 1. </w:t>
      </w:r>
      <w:r w:rsidR="00963F7C">
        <w:rPr>
          <w:rFonts w:ascii="Times New Roman" w:hAnsi="Times New Roman"/>
          <w:sz w:val="24"/>
          <w:szCs w:val="24"/>
          <w:lang w:val="lt-LT"/>
        </w:rPr>
        <w:t xml:space="preserve">Mokinys </w:t>
      </w:r>
      <w:r w:rsidR="00963F7C" w:rsidRPr="00707444">
        <w:rPr>
          <w:rFonts w:ascii="Times New Roman" w:hAnsi="Times New Roman"/>
          <w:sz w:val="24"/>
          <w:szCs w:val="24"/>
          <w:lang w:val="lt-LT"/>
        </w:rPr>
        <w:t>rašo prašymą</w:t>
      </w:r>
      <w:r w:rsidR="00963F7C">
        <w:rPr>
          <w:rFonts w:ascii="Times New Roman" w:hAnsi="Times New Roman"/>
          <w:sz w:val="24"/>
          <w:szCs w:val="24"/>
          <w:lang w:val="lt-LT"/>
        </w:rPr>
        <w:t xml:space="preserve"> gimnazijos </w:t>
      </w:r>
      <w:r w:rsidR="00963F7C" w:rsidRPr="00707444">
        <w:rPr>
          <w:rFonts w:ascii="Times New Roman" w:hAnsi="Times New Roman"/>
          <w:sz w:val="24"/>
          <w:szCs w:val="24"/>
          <w:lang w:val="lt-LT"/>
        </w:rPr>
        <w:t xml:space="preserve"> direktoriui dėl individualaus ugdymo plano keitimo.</w:t>
      </w:r>
    </w:p>
    <w:p w:rsidR="00655ED3" w:rsidRPr="00707444" w:rsidRDefault="00814CAC" w:rsidP="00963F7C">
      <w:pPr>
        <w:widowControl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63F7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5.</w:t>
      </w:r>
      <w:r w:rsidR="00963F7C">
        <w:rPr>
          <w:rFonts w:ascii="Times New Roman" w:hAnsi="Times New Roman"/>
          <w:sz w:val="24"/>
          <w:szCs w:val="24"/>
          <w:lang w:val="lt-LT"/>
        </w:rPr>
        <w:t>2. D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irektoriaus pavadu</w:t>
      </w:r>
      <w:r w:rsidR="005329B6">
        <w:rPr>
          <w:rFonts w:ascii="Times New Roman" w:hAnsi="Times New Roman"/>
          <w:sz w:val="24"/>
          <w:szCs w:val="24"/>
          <w:lang w:val="lt-LT"/>
        </w:rPr>
        <w:t>otojas ugdymui suderina</w:t>
      </w:r>
      <w:r w:rsidR="00963F7C">
        <w:rPr>
          <w:rFonts w:ascii="Times New Roman" w:hAnsi="Times New Roman"/>
          <w:sz w:val="24"/>
          <w:szCs w:val="24"/>
          <w:lang w:val="lt-LT"/>
        </w:rPr>
        <w:t xml:space="preserve"> mokinio  individualaus ugdymo plano keitimo   galimybes</w:t>
      </w:r>
      <w:r w:rsidR="00655ED3">
        <w:rPr>
          <w:rFonts w:ascii="Times New Roman" w:hAnsi="Times New Roman"/>
          <w:sz w:val="24"/>
          <w:szCs w:val="24"/>
          <w:lang w:val="lt-LT"/>
        </w:rPr>
        <w:t>.</w:t>
      </w:r>
    </w:p>
    <w:p w:rsidR="00655ED3" w:rsidRPr="00707444" w:rsidRDefault="00814CAC" w:rsidP="00814CAC">
      <w:pPr>
        <w:widowControl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5.</w:t>
      </w:r>
      <w:r w:rsidR="00963F7C">
        <w:rPr>
          <w:rFonts w:ascii="Times New Roman" w:hAnsi="Times New Roman"/>
          <w:sz w:val="24"/>
          <w:szCs w:val="24"/>
          <w:lang w:val="lt-LT"/>
        </w:rPr>
        <w:t>3. Direktorius rašo įsakymą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.</w:t>
      </w:r>
    </w:p>
    <w:p w:rsidR="00655ED3" w:rsidRPr="00707444" w:rsidRDefault="00814CAC" w:rsidP="00814CAC">
      <w:pPr>
        <w:widowControl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5.</w:t>
      </w:r>
      <w:r w:rsidR="00963F7C">
        <w:rPr>
          <w:rFonts w:ascii="Times New Roman" w:hAnsi="Times New Roman"/>
          <w:sz w:val="24"/>
          <w:szCs w:val="24"/>
          <w:lang w:val="lt-LT"/>
        </w:rPr>
        <w:t>4.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Mokytojas, vadovaudamasis įsakymu, paruošia užduotis mokiniui, su mokiniu suderintu laiku organizuoja įskaitos laikymą</w:t>
      </w:r>
      <w:r w:rsidR="00963F7C">
        <w:rPr>
          <w:rFonts w:ascii="Times New Roman" w:hAnsi="Times New Roman"/>
          <w:sz w:val="24"/>
          <w:szCs w:val="24"/>
          <w:lang w:val="lt-LT"/>
        </w:rPr>
        <w:t>, daro įrašus apskaitos lapuose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.</w:t>
      </w:r>
      <w:r w:rsidR="005329B6">
        <w:rPr>
          <w:rFonts w:ascii="Times New Roman" w:hAnsi="Times New Roman"/>
          <w:sz w:val="24"/>
          <w:szCs w:val="24"/>
          <w:lang w:val="lt-LT"/>
        </w:rPr>
        <w:t xml:space="preserve">  (Priedas Nr. 1)</w:t>
      </w:r>
    </w:p>
    <w:p w:rsidR="00963F7C" w:rsidRDefault="00814CAC" w:rsidP="00814CAC">
      <w:pPr>
        <w:widowControl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5.4.1. 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>Mokiniui, kuris keičia iš</w:t>
      </w:r>
      <w:r w:rsidR="00963F7C">
        <w:rPr>
          <w:rFonts w:ascii="Times New Roman" w:hAnsi="Times New Roman"/>
          <w:sz w:val="24"/>
          <w:szCs w:val="24"/>
          <w:lang w:val="lt-LT"/>
        </w:rPr>
        <w:t>plėstinį dalyko kursą į bendrąjį</w:t>
      </w:r>
      <w:r w:rsidR="00655ED3" w:rsidRPr="00707444">
        <w:rPr>
          <w:rFonts w:ascii="Times New Roman" w:hAnsi="Times New Roman"/>
          <w:sz w:val="24"/>
          <w:szCs w:val="24"/>
          <w:lang w:val="lt-LT"/>
        </w:rPr>
        <w:t xml:space="preserve"> dalyko programos kursą, įskaitos laikyti nereikia. Dalyko pažymiai, prie jų pažymint kursą raidėmis B (bendrasis) įrašomi apskaitos lape. Šie pažymiai įskai</w:t>
      </w:r>
      <w:r w:rsidR="00963F7C">
        <w:rPr>
          <w:rFonts w:ascii="Times New Roman" w:hAnsi="Times New Roman"/>
          <w:sz w:val="24"/>
          <w:szCs w:val="24"/>
          <w:lang w:val="lt-LT"/>
        </w:rPr>
        <w:t>tomi kaip pusmečio ar metiniai.</w:t>
      </w:r>
    </w:p>
    <w:p w:rsidR="00963F7C" w:rsidRDefault="00814CAC" w:rsidP="00814CAC">
      <w:pPr>
        <w:widowControl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5.4.2.</w:t>
      </w:r>
      <w:r w:rsidR="00963F7C" w:rsidRPr="00963F7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55ED3" w:rsidRPr="00963F7C">
        <w:rPr>
          <w:rFonts w:ascii="Times New Roman" w:hAnsi="Times New Roman"/>
          <w:sz w:val="24"/>
          <w:szCs w:val="24"/>
          <w:lang w:val="lt-LT"/>
        </w:rPr>
        <w:t>Mokinys, kuris keičia bend</w:t>
      </w:r>
      <w:r w:rsidR="00963F7C" w:rsidRPr="00963F7C">
        <w:rPr>
          <w:rFonts w:ascii="Times New Roman" w:hAnsi="Times New Roman"/>
          <w:sz w:val="24"/>
          <w:szCs w:val="24"/>
          <w:lang w:val="lt-LT"/>
        </w:rPr>
        <w:t>rąj</w:t>
      </w:r>
      <w:r w:rsidR="00655ED3" w:rsidRPr="00963F7C">
        <w:rPr>
          <w:rFonts w:ascii="Times New Roman" w:hAnsi="Times New Roman"/>
          <w:sz w:val="24"/>
          <w:szCs w:val="24"/>
          <w:lang w:val="lt-LT"/>
        </w:rPr>
        <w:t>į dalyko kursą į išplėstinį dalyko programos kursą, laiko įskaitą už dalyko programų skirtumą iki pusmečio pabaigos. Įskaitai mokinys pasiruošia savarankiškai. Įskaitų pažymiai, prie jų pažymint kursą raidėmis  A (išplėstinis), įrašomi apskaitos lape. Šie pažymiai įska</w:t>
      </w:r>
      <w:r w:rsidR="00963F7C" w:rsidRPr="00963F7C">
        <w:rPr>
          <w:rFonts w:ascii="Times New Roman" w:hAnsi="Times New Roman"/>
          <w:sz w:val="24"/>
          <w:szCs w:val="24"/>
          <w:lang w:val="lt-LT"/>
        </w:rPr>
        <w:t>itomi kaip pusmečio ar metiniai.</w:t>
      </w:r>
      <w:r w:rsidR="00655ED3" w:rsidRPr="00963F7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55ED3" w:rsidRDefault="00814CAC" w:rsidP="00814CAC">
      <w:pPr>
        <w:widowControl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5.4.3. </w:t>
      </w:r>
      <w:r w:rsidR="00655ED3" w:rsidRPr="00963F7C">
        <w:rPr>
          <w:rFonts w:ascii="Times New Roman" w:hAnsi="Times New Roman"/>
          <w:sz w:val="24"/>
          <w:szCs w:val="24"/>
          <w:lang w:val="lt-LT"/>
        </w:rPr>
        <w:t>Mokiniui, kuris pradeda mokytis dalyko ar dalyko modulio reikia išlaikyti įskaitą už to dalyko ar modulio programą iki pusmečio pabaigos. Įskaitai mokinys pasiruošia savarankiškai . Dalyko modulio a</w:t>
      </w:r>
      <w:r w:rsidR="00EC626C" w:rsidRPr="00963F7C">
        <w:rPr>
          <w:rFonts w:ascii="Times New Roman" w:hAnsi="Times New Roman"/>
          <w:sz w:val="24"/>
          <w:szCs w:val="24"/>
          <w:lang w:val="lt-LT"/>
        </w:rPr>
        <w:t>r</w:t>
      </w:r>
      <w:r w:rsidR="00655ED3" w:rsidRPr="00963F7C">
        <w:rPr>
          <w:rFonts w:ascii="Times New Roman" w:hAnsi="Times New Roman"/>
          <w:sz w:val="24"/>
          <w:szCs w:val="24"/>
          <w:lang w:val="lt-LT"/>
        </w:rPr>
        <w:t>ba dalyko įskaitų pažymiai, prie jų pažymint kursą raidėmis B (bendrasis), A (išplėstinis), įrašomi apskaitos lape. Šie pažymiai įska</w:t>
      </w:r>
      <w:r w:rsidR="00963F7C">
        <w:rPr>
          <w:rFonts w:ascii="Times New Roman" w:hAnsi="Times New Roman"/>
          <w:sz w:val="24"/>
          <w:szCs w:val="24"/>
          <w:lang w:val="lt-LT"/>
        </w:rPr>
        <w:t>itomi kaip pusmečio ar metiniai.</w:t>
      </w:r>
      <w:r w:rsidR="00655ED3" w:rsidRPr="00963F7C">
        <w:rPr>
          <w:rFonts w:ascii="Times New Roman" w:hAnsi="Times New Roman"/>
          <w:sz w:val="24"/>
          <w:szCs w:val="24"/>
          <w:lang w:val="lt-LT"/>
        </w:rPr>
        <w:t xml:space="preserve"> Modulio įskaitų įvertinimui kursas nerašomas.</w:t>
      </w:r>
    </w:p>
    <w:p w:rsidR="005329B6" w:rsidRDefault="005329B6" w:rsidP="00814CAC">
      <w:pPr>
        <w:widowControl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329B6" w:rsidRPr="00963F7C" w:rsidRDefault="005329B6" w:rsidP="00814CAC">
      <w:pPr>
        <w:widowControl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55ED3" w:rsidRDefault="00655ED3" w:rsidP="00655ED3">
      <w:pPr>
        <w:rPr>
          <w:rFonts w:ascii="Times New Roman" w:hAnsi="Times New Roman"/>
          <w:sz w:val="24"/>
          <w:szCs w:val="24"/>
          <w:lang w:val="lt-LT"/>
        </w:rPr>
      </w:pPr>
    </w:p>
    <w:p w:rsidR="005329B6" w:rsidRDefault="005329B6" w:rsidP="00655ED3">
      <w:pPr>
        <w:rPr>
          <w:rFonts w:ascii="Times New Roman" w:hAnsi="Times New Roman"/>
          <w:sz w:val="24"/>
          <w:szCs w:val="24"/>
          <w:lang w:val="lt-LT"/>
        </w:rPr>
      </w:pPr>
    </w:p>
    <w:p w:rsid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5329B6" w:rsidRP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5329B6">
        <w:rPr>
          <w:rFonts w:ascii="Times New Roman" w:hAnsi="Times New Roman"/>
          <w:sz w:val="24"/>
          <w:szCs w:val="24"/>
        </w:rPr>
        <w:t>Priedas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9B6">
        <w:rPr>
          <w:rFonts w:ascii="Times New Roman" w:hAnsi="Times New Roman"/>
          <w:sz w:val="24"/>
          <w:szCs w:val="24"/>
        </w:rPr>
        <w:t>Nr</w:t>
      </w:r>
      <w:proofErr w:type="spellEnd"/>
      <w:r w:rsidRPr="005329B6">
        <w:rPr>
          <w:rFonts w:ascii="Times New Roman" w:hAnsi="Times New Roman"/>
          <w:sz w:val="24"/>
          <w:szCs w:val="24"/>
        </w:rPr>
        <w:t>. 1.</w:t>
      </w:r>
    </w:p>
    <w:p w:rsidR="005329B6" w:rsidRP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329B6">
        <w:rPr>
          <w:rFonts w:ascii="Times New Roman" w:hAnsi="Times New Roman"/>
          <w:sz w:val="24"/>
          <w:szCs w:val="24"/>
        </w:rPr>
        <w:t>Sedos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9B6">
        <w:rPr>
          <w:rFonts w:ascii="Times New Roman" w:hAnsi="Times New Roman"/>
          <w:sz w:val="24"/>
          <w:szCs w:val="24"/>
        </w:rPr>
        <w:t>Vytauto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9B6">
        <w:rPr>
          <w:rFonts w:ascii="Times New Roman" w:hAnsi="Times New Roman"/>
          <w:sz w:val="24"/>
          <w:szCs w:val="24"/>
        </w:rPr>
        <w:t>Mačernio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29B6">
        <w:rPr>
          <w:rFonts w:ascii="Times New Roman" w:hAnsi="Times New Roman"/>
          <w:sz w:val="24"/>
          <w:szCs w:val="24"/>
        </w:rPr>
        <w:t>gimnazijos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29B6">
        <w:rPr>
          <w:rFonts w:ascii="Times New Roman" w:hAnsi="Times New Roman"/>
          <w:sz w:val="24"/>
          <w:szCs w:val="24"/>
        </w:rPr>
        <w:t>mokinio</w:t>
      </w:r>
      <w:proofErr w:type="spellEnd"/>
      <w:proofErr w:type="gramEnd"/>
      <w:r w:rsidRPr="005329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329B6">
        <w:rPr>
          <w:rFonts w:ascii="Times New Roman" w:hAnsi="Times New Roman"/>
          <w:sz w:val="24"/>
          <w:szCs w:val="24"/>
        </w:rPr>
        <w:t>ės</w:t>
      </w:r>
      <w:proofErr w:type="spellEnd"/>
      <w:r w:rsidRPr="005329B6">
        <w:rPr>
          <w:rFonts w:ascii="Times New Roman" w:hAnsi="Times New Roman"/>
          <w:sz w:val="24"/>
          <w:szCs w:val="24"/>
        </w:rPr>
        <w:t>)</w:t>
      </w:r>
    </w:p>
    <w:p w:rsidR="005329B6" w:rsidRP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  <w:r w:rsidRPr="005329B6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  <w:r w:rsidRPr="005329B6">
        <w:rPr>
          <w:rFonts w:ascii="Times New Roman" w:hAnsi="Times New Roman"/>
          <w:sz w:val="24"/>
          <w:szCs w:val="24"/>
        </w:rPr>
        <w:t>ATSISKAITYMO LAPAS</w:t>
      </w:r>
    </w:p>
    <w:p w:rsidR="005329B6" w:rsidRPr="005329B6" w:rsidRDefault="005329B6" w:rsidP="005329B6">
      <w:pPr>
        <w:jc w:val="center"/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  <w:proofErr w:type="spellStart"/>
      <w:r w:rsidRPr="005329B6">
        <w:rPr>
          <w:rFonts w:ascii="Times New Roman" w:hAnsi="Times New Roman"/>
          <w:sz w:val="24"/>
          <w:szCs w:val="24"/>
        </w:rPr>
        <w:t>Atsiskaityti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9B6">
        <w:rPr>
          <w:rFonts w:ascii="Times New Roman" w:hAnsi="Times New Roman"/>
          <w:sz w:val="24"/>
          <w:szCs w:val="24"/>
        </w:rPr>
        <w:t>iki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44"/>
        <w:gridCol w:w="969"/>
        <w:gridCol w:w="1043"/>
        <w:gridCol w:w="1310"/>
        <w:gridCol w:w="1497"/>
        <w:gridCol w:w="1809"/>
        <w:gridCol w:w="1182"/>
      </w:tblGrid>
      <w:tr w:rsidR="005329B6" w:rsidRPr="005329B6" w:rsidTr="00F35B16">
        <w:trPr>
          <w:trHeight w:val="900"/>
        </w:trPr>
        <w:tc>
          <w:tcPr>
            <w:tcW w:w="2231" w:type="dxa"/>
            <w:vMerge w:val="restart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Dalyko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dalyko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modulio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pasirenkamojo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dalyko</w:t>
            </w:r>
            <w:proofErr w:type="spellEnd"/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pavadinimas</w:t>
            </w:r>
            <w:proofErr w:type="spellEnd"/>
          </w:p>
        </w:tc>
        <w:tc>
          <w:tcPr>
            <w:tcW w:w="2021" w:type="dxa"/>
            <w:gridSpan w:val="2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Kursas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kalbos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mokėjimo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lygis</w:t>
            </w:r>
            <w:proofErr w:type="spellEnd"/>
          </w:p>
        </w:tc>
        <w:tc>
          <w:tcPr>
            <w:tcW w:w="1310" w:type="dxa"/>
            <w:vMerge w:val="restart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Įvertinimas</w:t>
            </w:r>
            <w:proofErr w:type="spellEnd"/>
          </w:p>
        </w:tc>
        <w:tc>
          <w:tcPr>
            <w:tcW w:w="1497" w:type="dxa"/>
            <w:vMerge w:val="restart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Atsiskaitymo</w:t>
            </w:r>
            <w:proofErr w:type="spellEnd"/>
          </w:p>
          <w:p w:rsidR="005329B6" w:rsidRPr="005329B6" w:rsidRDefault="005329B6" w:rsidP="00F35B16">
            <w:pPr>
              <w:jc w:val="center"/>
              <w:rPr>
                <w:rFonts w:ascii="Times New Roman" w:hAnsi="Times New Roman"/>
                <w:sz w:val="24"/>
              </w:rPr>
            </w:pPr>
            <w:r w:rsidRPr="005329B6"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2099" w:type="dxa"/>
            <w:vMerge w:val="restart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Mokytojo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29B6">
              <w:rPr>
                <w:rFonts w:ascii="Times New Roman" w:hAnsi="Times New Roman"/>
                <w:sz w:val="24"/>
              </w:rPr>
              <w:t>vardas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>,</w:t>
            </w:r>
          </w:p>
          <w:p w:rsidR="005329B6" w:rsidRPr="005329B6" w:rsidRDefault="005329B6" w:rsidP="00F35B1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pavardė</w:t>
            </w:r>
            <w:proofErr w:type="spellEnd"/>
          </w:p>
        </w:tc>
        <w:tc>
          <w:tcPr>
            <w:tcW w:w="1298" w:type="dxa"/>
            <w:vMerge w:val="restart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Mokyt</w:t>
            </w:r>
            <w:proofErr w:type="spellEnd"/>
            <w:r w:rsidRPr="005329B6">
              <w:rPr>
                <w:rFonts w:ascii="Times New Roman" w:hAnsi="Times New Roman"/>
                <w:sz w:val="24"/>
              </w:rPr>
              <w:t>.</w:t>
            </w: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parašas</w:t>
            </w:r>
            <w:proofErr w:type="spellEnd"/>
          </w:p>
        </w:tc>
      </w:tr>
      <w:tr w:rsidR="005329B6" w:rsidRPr="005329B6" w:rsidTr="00F35B16">
        <w:trPr>
          <w:trHeight w:val="195"/>
        </w:trPr>
        <w:tc>
          <w:tcPr>
            <w:tcW w:w="2231" w:type="dxa"/>
            <w:vMerge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Esamas</w:t>
            </w:r>
            <w:proofErr w:type="spellEnd"/>
          </w:p>
        </w:tc>
        <w:tc>
          <w:tcPr>
            <w:tcW w:w="1043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29B6">
              <w:rPr>
                <w:rFonts w:ascii="Times New Roman" w:hAnsi="Times New Roman"/>
                <w:sz w:val="24"/>
              </w:rPr>
              <w:t>Norimas</w:t>
            </w:r>
            <w:proofErr w:type="spellEnd"/>
          </w:p>
        </w:tc>
        <w:tc>
          <w:tcPr>
            <w:tcW w:w="1310" w:type="dxa"/>
            <w:vMerge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7" w:type="dxa"/>
            <w:vMerge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  <w:vMerge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Merge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</w:tr>
      <w:tr w:rsidR="005329B6" w:rsidRPr="005329B6" w:rsidTr="00F35B16">
        <w:trPr>
          <w:trHeight w:val="2974"/>
        </w:trPr>
        <w:tc>
          <w:tcPr>
            <w:tcW w:w="2231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7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</w:tcPr>
          <w:p w:rsidR="005329B6" w:rsidRPr="005329B6" w:rsidRDefault="005329B6" w:rsidP="00F35B1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  <w:r w:rsidRPr="00532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     </w:t>
      </w: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  <w:r w:rsidRPr="00532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329B6">
        <w:rPr>
          <w:rFonts w:ascii="Times New Roman" w:hAnsi="Times New Roman"/>
          <w:sz w:val="24"/>
          <w:szCs w:val="24"/>
        </w:rPr>
        <w:t>Mokinio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9B6">
        <w:rPr>
          <w:rFonts w:ascii="Times New Roman" w:hAnsi="Times New Roman"/>
          <w:sz w:val="24"/>
          <w:szCs w:val="24"/>
        </w:rPr>
        <w:t>parašas</w:t>
      </w:r>
      <w:proofErr w:type="spellEnd"/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  <w:proofErr w:type="spellStart"/>
      <w:r w:rsidRPr="005329B6">
        <w:rPr>
          <w:rFonts w:ascii="Times New Roman" w:hAnsi="Times New Roman"/>
          <w:sz w:val="24"/>
          <w:szCs w:val="24"/>
        </w:rPr>
        <w:t>Direktoriaus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9B6">
        <w:rPr>
          <w:rFonts w:ascii="Times New Roman" w:hAnsi="Times New Roman"/>
          <w:sz w:val="24"/>
          <w:szCs w:val="24"/>
        </w:rPr>
        <w:t>pavaduotoja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9B6">
        <w:rPr>
          <w:rFonts w:ascii="Times New Roman" w:hAnsi="Times New Roman"/>
          <w:sz w:val="24"/>
          <w:szCs w:val="24"/>
        </w:rPr>
        <w:t>ugdymui</w:t>
      </w:r>
      <w:proofErr w:type="spellEnd"/>
      <w:r w:rsidRPr="005329B6">
        <w:rPr>
          <w:rFonts w:ascii="Times New Roman" w:hAnsi="Times New Roman"/>
          <w:sz w:val="24"/>
          <w:szCs w:val="24"/>
        </w:rPr>
        <w:t xml:space="preserve">                                             _______________       </w:t>
      </w: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5329B6">
      <w:pPr>
        <w:rPr>
          <w:rFonts w:ascii="Times New Roman" w:hAnsi="Times New Roman"/>
          <w:sz w:val="24"/>
          <w:szCs w:val="24"/>
        </w:rPr>
      </w:pPr>
    </w:p>
    <w:p w:rsidR="005329B6" w:rsidRPr="005329B6" w:rsidRDefault="005329B6" w:rsidP="00655ED3">
      <w:pPr>
        <w:rPr>
          <w:rFonts w:ascii="Times New Roman" w:hAnsi="Times New Roman"/>
          <w:sz w:val="24"/>
          <w:szCs w:val="24"/>
          <w:lang w:val="lt-LT"/>
        </w:rPr>
      </w:pPr>
    </w:p>
    <w:sectPr w:rsidR="005329B6" w:rsidRPr="005329B6" w:rsidSect="00F30EC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03"/>
    <w:multiLevelType w:val="hybridMultilevel"/>
    <w:tmpl w:val="C12C280A"/>
    <w:lvl w:ilvl="0" w:tplc="FB7C6BD6">
      <w:start w:val="2006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eastAsia="Times New Roman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536F0"/>
    <w:multiLevelType w:val="hybridMultilevel"/>
    <w:tmpl w:val="AB2428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C06A4"/>
    <w:multiLevelType w:val="hybridMultilevel"/>
    <w:tmpl w:val="D11C9418"/>
    <w:lvl w:ilvl="0" w:tplc="880CB0D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D3"/>
    <w:rsid w:val="0023322A"/>
    <w:rsid w:val="00253125"/>
    <w:rsid w:val="002A0837"/>
    <w:rsid w:val="003207D2"/>
    <w:rsid w:val="004C1C20"/>
    <w:rsid w:val="005329B6"/>
    <w:rsid w:val="00557619"/>
    <w:rsid w:val="00592B84"/>
    <w:rsid w:val="00655ED3"/>
    <w:rsid w:val="006B2640"/>
    <w:rsid w:val="006D488C"/>
    <w:rsid w:val="006D5C34"/>
    <w:rsid w:val="007F1380"/>
    <w:rsid w:val="00814CAC"/>
    <w:rsid w:val="00860BA0"/>
    <w:rsid w:val="00916671"/>
    <w:rsid w:val="00963F7C"/>
    <w:rsid w:val="009C6A0D"/>
    <w:rsid w:val="00A74E6A"/>
    <w:rsid w:val="00AC78ED"/>
    <w:rsid w:val="00E47AA4"/>
    <w:rsid w:val="00E805BD"/>
    <w:rsid w:val="00EB26BE"/>
    <w:rsid w:val="00EC626C"/>
    <w:rsid w:val="00F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F1A6A-AA28-490B-80F4-7E3A68C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655ED3"/>
    <w:pPr>
      <w:widowControl w:val="0"/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56">
    <w:name w:val="Font Style56"/>
    <w:rsid w:val="00655ED3"/>
    <w:rPr>
      <w:rFonts w:ascii="Times New Roman" w:hAnsi="Times New Roman" w:cs="Times New Roman"/>
      <w:sz w:val="22"/>
      <w:szCs w:val="22"/>
    </w:rPr>
  </w:style>
  <w:style w:type="paragraph" w:styleId="prastasiniatinklio">
    <w:name w:val="Normal (Web)"/>
    <w:basedOn w:val="prastasis"/>
    <w:rsid w:val="003207D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3207D2"/>
    <w:rPr>
      <w:b/>
      <w:bCs/>
    </w:rPr>
  </w:style>
  <w:style w:type="table" w:styleId="Lentelstinklelis">
    <w:name w:val="Table Grid"/>
    <w:basedOn w:val="prastojilentel"/>
    <w:uiPriority w:val="39"/>
    <w:rsid w:val="005329B6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Daiva Bruziene</cp:lastModifiedBy>
  <cp:revision>11</cp:revision>
  <dcterms:created xsi:type="dcterms:W3CDTF">2013-10-31T12:02:00Z</dcterms:created>
  <dcterms:modified xsi:type="dcterms:W3CDTF">2021-09-13T11:48:00Z</dcterms:modified>
</cp:coreProperties>
</file>