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298" w:rsidRPr="00FE5E58" w:rsidRDefault="00FE5E58" w:rsidP="00782B5A">
      <w:pPr>
        <w:spacing w:after="0" w:line="312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FE5E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                                             </w:t>
      </w:r>
      <w:r w:rsidR="006E46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 </w:t>
      </w:r>
      <w:r w:rsidRPr="00FE5E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PATVIRTINTA</w:t>
      </w:r>
    </w:p>
    <w:p w:rsidR="00FE5E58" w:rsidRDefault="00FE5E58" w:rsidP="00782B5A">
      <w:pPr>
        <w:spacing w:after="0" w:line="312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                                                                       </w:t>
      </w:r>
      <w:r w:rsidR="006E46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    </w:t>
      </w:r>
      <w:r w:rsidRPr="00FE5E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Sedos Vytauto Mačernio gimnazijos</w:t>
      </w:r>
    </w:p>
    <w:p w:rsidR="006E468F" w:rsidRDefault="00FE5E58" w:rsidP="00782B5A">
      <w:pPr>
        <w:spacing w:after="0" w:line="312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FE5E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                                                               </w:t>
      </w:r>
      <w:r w:rsidR="006E46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          </w:t>
      </w:r>
      <w:r w:rsidRPr="00FE5E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direktoriaus 2024 m. </w:t>
      </w:r>
      <w:r w:rsidR="006E46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lapkričio 15 d.</w:t>
      </w:r>
    </w:p>
    <w:p w:rsidR="00FE5E58" w:rsidRPr="00FE5E58" w:rsidRDefault="006E468F" w:rsidP="00782B5A">
      <w:pPr>
        <w:spacing w:after="0" w:line="312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                                          </w:t>
      </w:r>
      <w:r w:rsidR="00FE5E58" w:rsidRPr="00FE5E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          </w:t>
      </w:r>
      <w:r w:rsidR="00FE5E58" w:rsidRPr="00FE5E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įsakymu Nr.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V1-110</w:t>
      </w:r>
    </w:p>
    <w:p w:rsidR="00BB0298" w:rsidRDefault="00BB0298" w:rsidP="00782B5A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B0298" w:rsidRDefault="00BB0298" w:rsidP="00782B5A">
      <w:pPr>
        <w:spacing w:after="0" w:line="312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SEDOS VYTAUTO MAČERNIO </w:t>
      </w:r>
      <w:r w:rsidRPr="00BB0298">
        <w:rPr>
          <w:rFonts w:ascii="Times New Roman" w:hAnsi="Times New Roman" w:cs="Times New Roman"/>
          <w:b/>
          <w:sz w:val="24"/>
          <w:szCs w:val="24"/>
        </w:rPr>
        <w:t>GIMNAZIJOS KONSULTACINIŲ VALANDŲ MOKINIAMS SKYRIMO, ORGANIZAVIMO IR FIKSAVIMO TVARKOS APRAŠAS</w:t>
      </w:r>
      <w:r w:rsidRPr="00BB0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298" w:rsidRDefault="00BB0298" w:rsidP="00782B5A">
      <w:pPr>
        <w:spacing w:after="0" w:line="312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B0298" w:rsidRDefault="00BB0298" w:rsidP="00782B5A">
      <w:pPr>
        <w:spacing w:after="0" w:line="31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298">
        <w:rPr>
          <w:rFonts w:ascii="Times New Roman" w:hAnsi="Times New Roman" w:cs="Times New Roman"/>
          <w:b/>
          <w:sz w:val="24"/>
          <w:szCs w:val="24"/>
        </w:rPr>
        <w:t xml:space="preserve">I SKYRIUS </w:t>
      </w:r>
    </w:p>
    <w:p w:rsidR="00BB0298" w:rsidRDefault="00BB0298" w:rsidP="00782B5A">
      <w:pPr>
        <w:spacing w:after="0" w:line="312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B0298">
        <w:rPr>
          <w:rFonts w:ascii="Times New Roman" w:hAnsi="Times New Roman" w:cs="Times New Roman"/>
          <w:b/>
          <w:sz w:val="24"/>
          <w:szCs w:val="24"/>
        </w:rPr>
        <w:t>BENDROSIOS NUOSTATOS</w:t>
      </w:r>
      <w:r w:rsidRPr="00BB0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054" w:rsidRDefault="00392054" w:rsidP="00782B5A">
      <w:pPr>
        <w:spacing w:after="0" w:line="312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92054" w:rsidRPr="00782B5A" w:rsidRDefault="00392054" w:rsidP="00392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9205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B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Pr="00782B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Konsultacinių valandų mokiniams skyrimo, organizavimo ir fiksavimo tvarkos aprašas (toliau - Aprašas) parengtas vadovaujantis Lietuvos Respublikos Švietimo įstatymu, </w:t>
      </w:r>
      <w:r w:rsidRPr="00392054">
        <w:rPr>
          <w:rFonts w:ascii="Times New Roman" w:hAnsi="Times New Roman" w:cs="Times New Roman"/>
          <w:color w:val="000000"/>
          <w:sz w:val="24"/>
          <w:szCs w:val="24"/>
        </w:rPr>
        <w:t>Mokinių, kurie mokosi pagal bendrojo ugdymo programas, mokymosi pasiekimų vertinimo ir vertinimo rezultatų panaudojimo tvarkos aprašu, patvirtintu Lietuvos  respublikos švietimo, mokslo ir sporto ministro 2023 m. rugpjūčio 31 d. įsakymu Nr. V-1125, Bendraisiais ugdymo planais.</w:t>
      </w:r>
      <w:r w:rsidRPr="00782B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392054" w:rsidRDefault="00392054" w:rsidP="00392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82B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 Konsultacinės valandos skiriamos iš pamokų, skirtų mokinių ugdymo poreikiams tenkinti, mokymosi pagalbai teikti, atsižvelgiant į mokyklos lėšas.</w:t>
      </w:r>
    </w:p>
    <w:p w:rsidR="00392054" w:rsidRPr="00782B5A" w:rsidRDefault="00392054" w:rsidP="00392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392054" w:rsidRPr="00392054" w:rsidRDefault="00BB0298" w:rsidP="00392054">
      <w:pPr>
        <w:spacing w:after="0" w:line="31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054">
        <w:rPr>
          <w:rFonts w:ascii="Times New Roman" w:hAnsi="Times New Roman" w:cs="Times New Roman"/>
          <w:b/>
          <w:sz w:val="24"/>
          <w:szCs w:val="24"/>
        </w:rPr>
        <w:t xml:space="preserve"> II SKYRIUS </w:t>
      </w:r>
    </w:p>
    <w:p w:rsidR="00392054" w:rsidRDefault="00BB0298" w:rsidP="00392054">
      <w:pPr>
        <w:spacing w:after="0" w:line="31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054">
        <w:rPr>
          <w:rFonts w:ascii="Times New Roman" w:hAnsi="Times New Roman" w:cs="Times New Roman"/>
          <w:b/>
          <w:sz w:val="24"/>
          <w:szCs w:val="24"/>
        </w:rPr>
        <w:t xml:space="preserve">KONSULTACIJŲ ORGANIZAVIMO TIKSLAS, UŽDAVINIAI IR PRINCIPAI </w:t>
      </w:r>
    </w:p>
    <w:p w:rsidR="00392054" w:rsidRPr="00392054" w:rsidRDefault="00392054" w:rsidP="00392054">
      <w:pPr>
        <w:spacing w:after="0" w:line="31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054" w:rsidRDefault="00BB0298" w:rsidP="008C5432">
      <w:pPr>
        <w:spacing w:after="0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2054">
        <w:rPr>
          <w:rFonts w:ascii="Times New Roman" w:hAnsi="Times New Roman" w:cs="Times New Roman"/>
          <w:sz w:val="24"/>
          <w:szCs w:val="24"/>
        </w:rPr>
        <w:t xml:space="preserve">4. Tikslas – padėti </w:t>
      </w:r>
      <w:r w:rsidR="008C5432" w:rsidRPr="00392054">
        <w:rPr>
          <w:rFonts w:ascii="Times New Roman" w:hAnsi="Times New Roman" w:cs="Times New Roman"/>
          <w:sz w:val="24"/>
          <w:szCs w:val="24"/>
        </w:rPr>
        <w:t xml:space="preserve">gabiesiems </w:t>
      </w:r>
      <w:r w:rsidR="008C5432">
        <w:rPr>
          <w:rFonts w:ascii="Times New Roman" w:hAnsi="Times New Roman" w:cs="Times New Roman"/>
          <w:sz w:val="24"/>
          <w:szCs w:val="24"/>
        </w:rPr>
        <w:t>ar</w:t>
      </w:r>
      <w:r w:rsidR="00392054">
        <w:rPr>
          <w:rFonts w:ascii="Times New Roman" w:hAnsi="Times New Roman" w:cs="Times New Roman"/>
          <w:sz w:val="24"/>
          <w:szCs w:val="24"/>
        </w:rPr>
        <w:t xml:space="preserve"> turi</w:t>
      </w:r>
      <w:r w:rsidR="008C5432">
        <w:rPr>
          <w:rFonts w:ascii="Times New Roman" w:hAnsi="Times New Roman" w:cs="Times New Roman"/>
          <w:sz w:val="24"/>
          <w:szCs w:val="24"/>
        </w:rPr>
        <w:t>ntiems</w:t>
      </w:r>
      <w:r w:rsidR="00392054">
        <w:rPr>
          <w:rFonts w:ascii="Times New Roman" w:hAnsi="Times New Roman" w:cs="Times New Roman"/>
          <w:sz w:val="24"/>
          <w:szCs w:val="24"/>
        </w:rPr>
        <w:t xml:space="preserve"> mokymosi sunkumų </w:t>
      </w:r>
      <w:r w:rsidR="00392054" w:rsidRPr="00392054">
        <w:rPr>
          <w:rFonts w:ascii="Times New Roman" w:hAnsi="Times New Roman" w:cs="Times New Roman"/>
          <w:sz w:val="24"/>
          <w:szCs w:val="24"/>
        </w:rPr>
        <w:t xml:space="preserve">mokiniams </w:t>
      </w:r>
      <w:r w:rsidRPr="00392054">
        <w:rPr>
          <w:rFonts w:ascii="Times New Roman" w:hAnsi="Times New Roman" w:cs="Times New Roman"/>
          <w:sz w:val="24"/>
          <w:szCs w:val="24"/>
        </w:rPr>
        <w:t>veiksmingai mokytis, teikti pagalbą gerinant mokymosi pasiekimus, darant pažangą</w:t>
      </w:r>
      <w:r w:rsidR="008C5432">
        <w:rPr>
          <w:rFonts w:ascii="Times New Roman" w:hAnsi="Times New Roman" w:cs="Times New Roman"/>
          <w:sz w:val="24"/>
          <w:szCs w:val="24"/>
        </w:rPr>
        <w:t>.</w:t>
      </w:r>
      <w:r w:rsidRPr="00392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054" w:rsidRDefault="00BB0298" w:rsidP="008C5432">
      <w:pPr>
        <w:spacing w:after="0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2054">
        <w:rPr>
          <w:rFonts w:ascii="Times New Roman" w:hAnsi="Times New Roman" w:cs="Times New Roman"/>
          <w:sz w:val="24"/>
          <w:szCs w:val="24"/>
        </w:rPr>
        <w:t xml:space="preserve">5. Uždaviniai: </w:t>
      </w:r>
    </w:p>
    <w:p w:rsidR="00392054" w:rsidRDefault="00392054" w:rsidP="008C5432">
      <w:pPr>
        <w:spacing w:after="0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B0298" w:rsidRPr="00392054">
        <w:rPr>
          <w:rFonts w:ascii="Times New Roman" w:hAnsi="Times New Roman" w:cs="Times New Roman"/>
          <w:sz w:val="24"/>
          <w:szCs w:val="24"/>
        </w:rPr>
        <w:t xml:space="preserve">5.1.stebėti ir analizuoti, laiku identifikuojant kylančius mokinių mokymosi sunkumus; </w:t>
      </w:r>
    </w:p>
    <w:p w:rsidR="00392054" w:rsidRDefault="00392054" w:rsidP="008C5432">
      <w:pPr>
        <w:spacing w:after="0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54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298" w:rsidRPr="00392054">
        <w:rPr>
          <w:rFonts w:ascii="Times New Roman" w:hAnsi="Times New Roman" w:cs="Times New Roman"/>
          <w:sz w:val="24"/>
          <w:szCs w:val="24"/>
        </w:rPr>
        <w:t>5.2. sudaryti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298" w:rsidRPr="00392054">
        <w:rPr>
          <w:rFonts w:ascii="Times New Roman" w:hAnsi="Times New Roman" w:cs="Times New Roman"/>
          <w:sz w:val="24"/>
          <w:szCs w:val="24"/>
        </w:rPr>
        <w:t>sąlygas gabiųjų mokinių ir mokinių, turinči</w:t>
      </w:r>
      <w:r>
        <w:rPr>
          <w:rFonts w:ascii="Times New Roman" w:hAnsi="Times New Roman" w:cs="Times New Roman"/>
          <w:sz w:val="24"/>
          <w:szCs w:val="24"/>
        </w:rPr>
        <w:t>ų mokymosi sunkumų</w:t>
      </w:r>
      <w:r w:rsidR="007B5F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ugdymui(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392054" w:rsidRDefault="00392054" w:rsidP="008C5432">
      <w:pPr>
        <w:spacing w:after="0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B0298" w:rsidRPr="00392054">
        <w:rPr>
          <w:rFonts w:ascii="Times New Roman" w:hAnsi="Times New Roman" w:cs="Times New Roman"/>
          <w:sz w:val="24"/>
          <w:szCs w:val="24"/>
        </w:rPr>
        <w:t>5.3. racionaliai naudoti valandas, skirtas mokin</w:t>
      </w:r>
      <w:r>
        <w:rPr>
          <w:rFonts w:ascii="Times New Roman" w:hAnsi="Times New Roman" w:cs="Times New Roman"/>
          <w:sz w:val="24"/>
          <w:szCs w:val="24"/>
        </w:rPr>
        <w:t>io ugdymo poreikiams tenkinti.</w:t>
      </w:r>
      <w:r w:rsidR="00BB0298" w:rsidRPr="00392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054" w:rsidRDefault="00BB0298" w:rsidP="008C5432">
      <w:pPr>
        <w:spacing w:after="0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2054">
        <w:rPr>
          <w:rFonts w:ascii="Times New Roman" w:hAnsi="Times New Roman" w:cs="Times New Roman"/>
          <w:sz w:val="24"/>
          <w:szCs w:val="24"/>
        </w:rPr>
        <w:t xml:space="preserve">6. Konsultacijų teikimo principai: </w:t>
      </w:r>
    </w:p>
    <w:p w:rsidR="00392054" w:rsidRDefault="00392054" w:rsidP="008C5432">
      <w:pPr>
        <w:spacing w:after="0" w:line="31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298" w:rsidRPr="00392054">
        <w:rPr>
          <w:rFonts w:ascii="Times New Roman" w:hAnsi="Times New Roman" w:cs="Times New Roman"/>
          <w:sz w:val="24"/>
          <w:szCs w:val="24"/>
        </w:rPr>
        <w:t xml:space="preserve">lygios galimybės – kiekvienam mokiniui užtikrinamas pagalbos prieinamumas;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C5432">
        <w:rPr>
          <w:rFonts w:ascii="Times New Roman" w:hAnsi="Times New Roman" w:cs="Times New Roman"/>
          <w:sz w:val="24"/>
          <w:szCs w:val="24"/>
        </w:rPr>
        <w:t xml:space="preserve">    </w:t>
      </w:r>
      <w:r w:rsidR="00BB0298" w:rsidRPr="00392054">
        <w:rPr>
          <w:rFonts w:ascii="Times New Roman" w:hAnsi="Times New Roman" w:cs="Times New Roman"/>
          <w:sz w:val="24"/>
          <w:szCs w:val="24"/>
        </w:rPr>
        <w:t>visuotinumas – pagalba teikiama v</w:t>
      </w:r>
      <w:r w:rsidR="007B5F98">
        <w:rPr>
          <w:rFonts w:ascii="Times New Roman" w:hAnsi="Times New Roman" w:cs="Times New Roman"/>
          <w:sz w:val="24"/>
          <w:szCs w:val="24"/>
        </w:rPr>
        <w:t>isiems gimnazij</w:t>
      </w:r>
      <w:r w:rsidR="00BB0298" w:rsidRPr="00392054">
        <w:rPr>
          <w:rFonts w:ascii="Times New Roman" w:hAnsi="Times New Roman" w:cs="Times New Roman"/>
          <w:sz w:val="24"/>
          <w:szCs w:val="24"/>
        </w:rPr>
        <w:t xml:space="preserve">os mokiniams, kuriems jos reikia; individualumas – pagalba teikiama atsižvelgiant į konkretaus mokinio problemas; veiksmingumas – mokymosi pagalba turi būti suteikiama laiku ir atitikti mokinio mokymosi galias. </w:t>
      </w:r>
    </w:p>
    <w:p w:rsidR="00392054" w:rsidRPr="00392054" w:rsidRDefault="00BB0298" w:rsidP="00392054">
      <w:pPr>
        <w:spacing w:after="0" w:line="31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054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392054" w:rsidRDefault="00BB0298" w:rsidP="00392054">
      <w:pPr>
        <w:spacing w:after="0" w:line="31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054">
        <w:rPr>
          <w:rFonts w:ascii="Times New Roman" w:hAnsi="Times New Roman" w:cs="Times New Roman"/>
          <w:b/>
          <w:sz w:val="24"/>
          <w:szCs w:val="24"/>
        </w:rPr>
        <w:t>KONSULTACIJŲ SKYRIMO BŪDAI</w:t>
      </w:r>
    </w:p>
    <w:p w:rsidR="00392054" w:rsidRPr="00C92D2A" w:rsidRDefault="00392054" w:rsidP="00392054">
      <w:pPr>
        <w:spacing w:after="0" w:line="312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92D2A" w:rsidRDefault="00BB0298" w:rsidP="00933BB6">
      <w:pPr>
        <w:pStyle w:val="Betarp"/>
        <w:jc w:val="both"/>
        <w:rPr>
          <w:b w:val="0"/>
          <w:sz w:val="24"/>
          <w:szCs w:val="24"/>
        </w:rPr>
      </w:pPr>
      <w:r w:rsidRPr="00C92D2A">
        <w:rPr>
          <w:b w:val="0"/>
          <w:sz w:val="24"/>
          <w:szCs w:val="24"/>
        </w:rPr>
        <w:t xml:space="preserve">7. </w:t>
      </w:r>
      <w:r w:rsidR="008C5432" w:rsidRPr="00C92D2A">
        <w:rPr>
          <w:b w:val="0"/>
          <w:sz w:val="24"/>
          <w:szCs w:val="24"/>
        </w:rPr>
        <w:t>Grupinės ar individualios k</w:t>
      </w:r>
      <w:r w:rsidR="00392054" w:rsidRPr="00C92D2A">
        <w:rPr>
          <w:b w:val="0"/>
          <w:sz w:val="24"/>
          <w:szCs w:val="24"/>
        </w:rPr>
        <w:t xml:space="preserve">onsultacines valandos </w:t>
      </w:r>
      <w:r w:rsidR="00933BB6" w:rsidRPr="00C92D2A">
        <w:rPr>
          <w:b w:val="0"/>
          <w:sz w:val="24"/>
          <w:szCs w:val="24"/>
        </w:rPr>
        <w:t>skiriamos</w:t>
      </w:r>
      <w:r w:rsidR="00C92D2A">
        <w:rPr>
          <w:b w:val="0"/>
          <w:sz w:val="24"/>
          <w:szCs w:val="24"/>
        </w:rPr>
        <w:t>:</w:t>
      </w:r>
    </w:p>
    <w:p w:rsidR="00933BB6" w:rsidRPr="005171F5" w:rsidRDefault="00C92D2A" w:rsidP="00933BB6">
      <w:pPr>
        <w:pStyle w:val="Betarp"/>
        <w:jc w:val="both"/>
        <w:rPr>
          <w:rFonts w:eastAsia="Calibri"/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  7.1.</w:t>
      </w:r>
      <w:r w:rsidR="00933BB6">
        <w:rPr>
          <w:sz w:val="24"/>
          <w:szCs w:val="24"/>
        </w:rPr>
        <w:t xml:space="preserve"> </w:t>
      </w:r>
      <w:r w:rsidR="00933BB6" w:rsidRPr="00BE67ED">
        <w:rPr>
          <w:b w:val="0"/>
          <w:sz w:val="24"/>
          <w:szCs w:val="24"/>
        </w:rPr>
        <w:t>kai mokinys dėl ligos ar kitų priežasčių praleido dalį pamokų</w:t>
      </w:r>
      <w:r w:rsidR="00933BB6">
        <w:rPr>
          <w:rStyle w:val="Grietas"/>
          <w:rFonts w:eastAsia="Calibri"/>
          <w:sz w:val="24"/>
          <w:szCs w:val="24"/>
        </w:rPr>
        <w:t xml:space="preserve"> ( praleido dvi  ar daugiau savaičių),</w:t>
      </w:r>
      <w:r w:rsidR="00933BB6" w:rsidRPr="00BE67ED">
        <w:rPr>
          <w:b w:val="0"/>
          <w:sz w:val="24"/>
          <w:szCs w:val="24"/>
        </w:rPr>
        <w:t xml:space="preserve"> kai mokinys gauna kelis iš eilės nepatenkinamu</w:t>
      </w:r>
      <w:r w:rsidR="00933BB6">
        <w:rPr>
          <w:b w:val="0"/>
          <w:sz w:val="24"/>
          <w:szCs w:val="24"/>
        </w:rPr>
        <w:t>s konkretaus dalyko įvertinimus,</w:t>
      </w:r>
      <w:r w:rsidR="00933BB6" w:rsidRPr="00BE67ED">
        <w:rPr>
          <w:b w:val="0"/>
          <w:sz w:val="24"/>
          <w:szCs w:val="24"/>
        </w:rPr>
        <w:t xml:space="preserve"> kai mokinio pasiekimų lygis (vieno ar kelių dalykų) žemesnis, nei numatyta ugdymo bendrosiose progr</w:t>
      </w:r>
      <w:r w:rsidR="00933BB6">
        <w:rPr>
          <w:b w:val="0"/>
          <w:sz w:val="24"/>
          <w:szCs w:val="24"/>
        </w:rPr>
        <w:t>amose ir mokinys nedaro pažangos,</w:t>
      </w:r>
      <w:r w:rsidR="00933BB6" w:rsidRPr="00BE67ED">
        <w:rPr>
          <w:b w:val="0"/>
          <w:sz w:val="24"/>
          <w:szCs w:val="24"/>
        </w:rPr>
        <w:t xml:space="preserve"> kai per Nacionalinį mokinių pasiekimų patikrinimą mokinys nepasiekia patenkinamo lygmens, kai mokinys demonstruoja aukščiausio lygmens pasiekimus, </w:t>
      </w:r>
      <w:r w:rsidR="00933BB6">
        <w:rPr>
          <w:b w:val="0"/>
          <w:sz w:val="24"/>
          <w:szCs w:val="24"/>
        </w:rPr>
        <w:t xml:space="preserve"> kai mokinys vykdo ilgalaikį projektinį darbą ar rašo brandos darbą, kai baigiamųjų </w:t>
      </w:r>
      <w:r w:rsidR="00933BB6">
        <w:rPr>
          <w:b w:val="0"/>
          <w:sz w:val="24"/>
          <w:szCs w:val="24"/>
        </w:rPr>
        <w:lastRenderedPageBreak/>
        <w:t xml:space="preserve">klasių mokiniai ruošiasi brandos egzaminams ar pagrindinio ugdymo patikrinimui,  </w:t>
      </w:r>
      <w:r w:rsidR="00933BB6" w:rsidRPr="00BE67ED">
        <w:rPr>
          <w:b w:val="0"/>
          <w:sz w:val="24"/>
          <w:szCs w:val="24"/>
        </w:rPr>
        <w:t>kitais  pastebėtais moky</w:t>
      </w:r>
      <w:r w:rsidR="00933BB6">
        <w:rPr>
          <w:b w:val="0"/>
          <w:sz w:val="24"/>
          <w:szCs w:val="24"/>
        </w:rPr>
        <w:t>mosi pagalbos poreikio atvejais.</w:t>
      </w:r>
    </w:p>
    <w:p w:rsidR="00392054" w:rsidRDefault="00392054" w:rsidP="008C5432">
      <w:pPr>
        <w:spacing w:after="0" w:line="31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92054" w:rsidRDefault="008C5432" w:rsidP="008C5432">
      <w:pPr>
        <w:spacing w:after="0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92D2A">
        <w:rPr>
          <w:rFonts w:ascii="Times New Roman" w:hAnsi="Times New Roman" w:cs="Times New Roman"/>
          <w:sz w:val="24"/>
          <w:szCs w:val="24"/>
        </w:rPr>
        <w:t>7.2</w:t>
      </w:r>
      <w:r w:rsidR="00BB0298" w:rsidRPr="00392054">
        <w:rPr>
          <w:rFonts w:ascii="Times New Roman" w:hAnsi="Times New Roman" w:cs="Times New Roman"/>
          <w:sz w:val="24"/>
          <w:szCs w:val="24"/>
        </w:rPr>
        <w:t xml:space="preserve">. mokinio ar jo tėvų prašymu; </w:t>
      </w:r>
    </w:p>
    <w:p w:rsidR="00392054" w:rsidRDefault="008C5432" w:rsidP="008C5432">
      <w:pPr>
        <w:spacing w:after="0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92D2A">
        <w:rPr>
          <w:rFonts w:ascii="Times New Roman" w:hAnsi="Times New Roman" w:cs="Times New Roman"/>
          <w:sz w:val="24"/>
          <w:szCs w:val="24"/>
        </w:rPr>
        <w:t>7.3</w:t>
      </w:r>
      <w:r w:rsidR="00BB0298" w:rsidRPr="00392054">
        <w:rPr>
          <w:rFonts w:ascii="Times New Roman" w:hAnsi="Times New Roman" w:cs="Times New Roman"/>
          <w:sz w:val="24"/>
          <w:szCs w:val="24"/>
        </w:rPr>
        <w:t xml:space="preserve">. gimnazijos administracijos ir vaiko gerovės komisijos sprendimu; </w:t>
      </w:r>
    </w:p>
    <w:p w:rsidR="00392054" w:rsidRDefault="008C5432" w:rsidP="008C5432">
      <w:pPr>
        <w:spacing w:after="0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92D2A">
        <w:rPr>
          <w:rFonts w:ascii="Times New Roman" w:hAnsi="Times New Roman" w:cs="Times New Roman"/>
          <w:sz w:val="24"/>
          <w:szCs w:val="24"/>
        </w:rPr>
        <w:t>7.4</w:t>
      </w:r>
      <w:r w:rsidR="00BB0298" w:rsidRPr="00392054">
        <w:rPr>
          <w:rFonts w:ascii="Times New Roman" w:hAnsi="Times New Roman" w:cs="Times New Roman"/>
          <w:sz w:val="24"/>
          <w:szCs w:val="24"/>
        </w:rPr>
        <w:t xml:space="preserve">. mokytojo ar klasės vadovo, pagalbos mokiniui specialisto prašymu. </w:t>
      </w:r>
    </w:p>
    <w:p w:rsidR="00933BB6" w:rsidRPr="00B00C4D" w:rsidRDefault="00933BB6" w:rsidP="00933BB6">
      <w:pPr>
        <w:pStyle w:val="Betarp"/>
        <w:rPr>
          <w:rStyle w:val="Grietas"/>
          <w:rFonts w:eastAsia="Calibri"/>
          <w:sz w:val="24"/>
          <w:szCs w:val="24"/>
        </w:rPr>
      </w:pPr>
      <w:r>
        <w:rPr>
          <w:rStyle w:val="Grietas"/>
          <w:rFonts w:eastAsia="Calibri"/>
          <w:sz w:val="24"/>
          <w:szCs w:val="24"/>
        </w:rPr>
        <w:t>8. K</w:t>
      </w:r>
      <w:r w:rsidRPr="00B00C4D">
        <w:rPr>
          <w:rStyle w:val="Grietas"/>
          <w:rFonts w:eastAsia="Calibri"/>
          <w:sz w:val="24"/>
          <w:szCs w:val="24"/>
        </w:rPr>
        <w:t>onsultacijos neskiriamos mokiniams:</w:t>
      </w:r>
    </w:p>
    <w:p w:rsidR="00933BB6" w:rsidRPr="00B00C4D" w:rsidRDefault="00933BB6" w:rsidP="00933BB6">
      <w:pPr>
        <w:pStyle w:val="Betarp"/>
        <w:rPr>
          <w:rStyle w:val="Grietas"/>
          <w:rFonts w:eastAsia="Calibri"/>
          <w:sz w:val="24"/>
          <w:szCs w:val="24"/>
        </w:rPr>
      </w:pPr>
      <w:r w:rsidRPr="00B00C4D">
        <w:rPr>
          <w:rStyle w:val="Grietas"/>
          <w:rFonts w:eastAsia="Calibri"/>
          <w:sz w:val="24"/>
          <w:szCs w:val="24"/>
        </w:rPr>
        <w:t xml:space="preserve"> </w:t>
      </w:r>
      <w:r>
        <w:rPr>
          <w:rStyle w:val="Grietas"/>
          <w:rFonts w:eastAsia="Calibri"/>
          <w:sz w:val="24"/>
          <w:szCs w:val="24"/>
        </w:rPr>
        <w:t xml:space="preserve">  </w:t>
      </w:r>
      <w:r w:rsidRPr="00B00C4D">
        <w:rPr>
          <w:rStyle w:val="Grietas"/>
          <w:rFonts w:eastAsia="Calibri"/>
          <w:sz w:val="24"/>
          <w:szCs w:val="24"/>
        </w:rPr>
        <w:t xml:space="preserve"> </w:t>
      </w:r>
      <w:r>
        <w:rPr>
          <w:rStyle w:val="Grietas"/>
          <w:rFonts w:eastAsia="Calibri"/>
          <w:sz w:val="24"/>
          <w:szCs w:val="24"/>
        </w:rPr>
        <w:t>8.</w:t>
      </w:r>
      <w:r w:rsidRPr="00B00C4D">
        <w:rPr>
          <w:rStyle w:val="Grietas"/>
          <w:rFonts w:eastAsia="Calibri"/>
          <w:sz w:val="24"/>
          <w:szCs w:val="24"/>
        </w:rPr>
        <w:t>1. praleidžiantiems pamokas be pateisinamos priežasties;</w:t>
      </w:r>
    </w:p>
    <w:p w:rsidR="00933BB6" w:rsidRPr="00933BB6" w:rsidRDefault="00933BB6" w:rsidP="00933BB6">
      <w:pPr>
        <w:pStyle w:val="Betarp"/>
        <w:rPr>
          <w:rFonts w:eastAsia="Calibri"/>
          <w:b w:val="0"/>
          <w:bCs/>
          <w:sz w:val="24"/>
          <w:szCs w:val="24"/>
        </w:rPr>
      </w:pPr>
      <w:r w:rsidRPr="00B00C4D">
        <w:rPr>
          <w:rStyle w:val="Grietas"/>
          <w:rFonts w:eastAsia="Calibri"/>
          <w:sz w:val="24"/>
          <w:szCs w:val="24"/>
        </w:rPr>
        <w:t xml:space="preserve"> </w:t>
      </w:r>
      <w:r>
        <w:rPr>
          <w:rStyle w:val="Grietas"/>
          <w:rFonts w:eastAsia="Calibri"/>
          <w:sz w:val="24"/>
          <w:szCs w:val="24"/>
        </w:rPr>
        <w:t xml:space="preserve">  </w:t>
      </w:r>
      <w:r w:rsidRPr="00B00C4D">
        <w:rPr>
          <w:rStyle w:val="Grietas"/>
          <w:rFonts w:eastAsia="Calibri"/>
          <w:sz w:val="24"/>
          <w:szCs w:val="24"/>
        </w:rPr>
        <w:t xml:space="preserve"> </w:t>
      </w:r>
      <w:r>
        <w:rPr>
          <w:rStyle w:val="Grietas"/>
          <w:rFonts w:eastAsia="Calibri"/>
          <w:sz w:val="24"/>
          <w:szCs w:val="24"/>
        </w:rPr>
        <w:t>8.2</w:t>
      </w:r>
      <w:r w:rsidR="007B5F98">
        <w:rPr>
          <w:rStyle w:val="Grietas"/>
          <w:rFonts w:eastAsia="Calibri"/>
          <w:sz w:val="24"/>
          <w:szCs w:val="24"/>
        </w:rPr>
        <w:t xml:space="preserve">. </w:t>
      </w:r>
      <w:r w:rsidRPr="00B00C4D">
        <w:rPr>
          <w:rStyle w:val="Grietas"/>
          <w:rFonts w:eastAsia="Calibri"/>
          <w:sz w:val="24"/>
          <w:szCs w:val="24"/>
        </w:rPr>
        <w:t>pažeidinėjantiems drausmę pamokose.</w:t>
      </w:r>
    </w:p>
    <w:p w:rsidR="00392054" w:rsidRDefault="00C92D2A" w:rsidP="008C5432">
      <w:pPr>
        <w:spacing w:after="0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B0298" w:rsidRPr="00392054">
        <w:rPr>
          <w:rFonts w:ascii="Times New Roman" w:hAnsi="Times New Roman" w:cs="Times New Roman"/>
          <w:sz w:val="24"/>
          <w:szCs w:val="24"/>
        </w:rPr>
        <w:t xml:space="preserve">. Konsultacijų organizavimo ypatumai: </w:t>
      </w:r>
    </w:p>
    <w:p w:rsidR="00392054" w:rsidRDefault="008C5432" w:rsidP="008C5432">
      <w:pPr>
        <w:spacing w:after="0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2D2A">
        <w:rPr>
          <w:rFonts w:ascii="Times New Roman" w:hAnsi="Times New Roman" w:cs="Times New Roman"/>
          <w:sz w:val="24"/>
          <w:szCs w:val="24"/>
        </w:rPr>
        <w:t>9</w:t>
      </w:r>
      <w:r w:rsidR="00BB0298" w:rsidRPr="00392054">
        <w:rPr>
          <w:rFonts w:ascii="Times New Roman" w:hAnsi="Times New Roman" w:cs="Times New Roman"/>
          <w:sz w:val="24"/>
          <w:szCs w:val="24"/>
        </w:rPr>
        <w:t>.1. konsultacijos vedamos užtikrinant ga</w:t>
      </w:r>
      <w:r w:rsidR="00F43A57">
        <w:rPr>
          <w:rFonts w:ascii="Times New Roman" w:hAnsi="Times New Roman" w:cs="Times New Roman"/>
          <w:sz w:val="24"/>
          <w:szCs w:val="24"/>
        </w:rPr>
        <w:t xml:space="preserve">limybę mokiniui lankyti jas </w:t>
      </w:r>
      <w:r w:rsidR="00BB0298" w:rsidRPr="00392054">
        <w:rPr>
          <w:rFonts w:ascii="Times New Roman" w:hAnsi="Times New Roman" w:cs="Times New Roman"/>
          <w:sz w:val="24"/>
          <w:szCs w:val="24"/>
        </w:rPr>
        <w:t>netrukdant ugdymo procesui;</w:t>
      </w:r>
    </w:p>
    <w:p w:rsidR="00392054" w:rsidRDefault="008C5432" w:rsidP="008C5432">
      <w:pPr>
        <w:spacing w:after="0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2D2A">
        <w:rPr>
          <w:rFonts w:ascii="Times New Roman" w:hAnsi="Times New Roman" w:cs="Times New Roman"/>
          <w:sz w:val="24"/>
          <w:szCs w:val="24"/>
        </w:rPr>
        <w:t xml:space="preserve"> 9</w:t>
      </w:r>
      <w:r w:rsidR="00BB0298" w:rsidRPr="00392054">
        <w:rPr>
          <w:rFonts w:ascii="Times New Roman" w:hAnsi="Times New Roman" w:cs="Times New Roman"/>
          <w:sz w:val="24"/>
          <w:szCs w:val="24"/>
        </w:rPr>
        <w:t>.2. konsultacijos gali būti organizuojamos tiek kasdieniniu, tiek nuotoliniu būdu,</w:t>
      </w:r>
      <w:r w:rsidR="00392054">
        <w:rPr>
          <w:rFonts w:ascii="Times New Roman" w:hAnsi="Times New Roman" w:cs="Times New Roman"/>
          <w:sz w:val="24"/>
          <w:szCs w:val="24"/>
        </w:rPr>
        <w:t xml:space="preserve"> </w:t>
      </w:r>
      <w:r w:rsidR="00BB0298" w:rsidRPr="00392054">
        <w:rPr>
          <w:rFonts w:ascii="Times New Roman" w:hAnsi="Times New Roman" w:cs="Times New Roman"/>
          <w:sz w:val="24"/>
          <w:szCs w:val="24"/>
        </w:rPr>
        <w:t xml:space="preserve">skiriamos tiek mokinių grupėms, tiek individualiai; </w:t>
      </w:r>
    </w:p>
    <w:p w:rsidR="005308E2" w:rsidRDefault="005308E2" w:rsidP="008C5432">
      <w:pPr>
        <w:spacing w:after="0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43A57">
        <w:rPr>
          <w:rFonts w:ascii="Times New Roman" w:hAnsi="Times New Roman" w:cs="Times New Roman"/>
          <w:sz w:val="24"/>
          <w:szCs w:val="24"/>
        </w:rPr>
        <w:t>9.3</w:t>
      </w:r>
      <w:r>
        <w:rPr>
          <w:rFonts w:ascii="Times New Roman" w:hAnsi="Times New Roman" w:cs="Times New Roman"/>
          <w:sz w:val="24"/>
          <w:szCs w:val="24"/>
        </w:rPr>
        <w:t>. paskirtos konsultacijos mokiniu</w:t>
      </w:r>
      <w:r w:rsidR="007B5F9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yra privalomos;</w:t>
      </w:r>
    </w:p>
    <w:p w:rsidR="00392054" w:rsidRDefault="008C5432" w:rsidP="008C5432">
      <w:pPr>
        <w:spacing w:after="0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2D2A">
        <w:rPr>
          <w:rFonts w:ascii="Times New Roman" w:hAnsi="Times New Roman" w:cs="Times New Roman"/>
          <w:sz w:val="24"/>
          <w:szCs w:val="24"/>
        </w:rPr>
        <w:t>9</w:t>
      </w:r>
      <w:r w:rsidR="00F43A57">
        <w:rPr>
          <w:rFonts w:ascii="Times New Roman" w:hAnsi="Times New Roman" w:cs="Times New Roman"/>
          <w:sz w:val="24"/>
          <w:szCs w:val="24"/>
        </w:rPr>
        <w:t>.4</w:t>
      </w:r>
      <w:r w:rsidR="00BB0298" w:rsidRPr="00392054">
        <w:rPr>
          <w:rFonts w:ascii="Times New Roman" w:hAnsi="Times New Roman" w:cs="Times New Roman"/>
          <w:sz w:val="24"/>
          <w:szCs w:val="24"/>
        </w:rPr>
        <w:t xml:space="preserve">. konsultacijos vyksta pagal sudarytą tvarkaraštį. Tvarkaraštis tvirtinamas direktoriaus įsakymu; </w:t>
      </w:r>
    </w:p>
    <w:p w:rsidR="005308E2" w:rsidRDefault="00F43A57" w:rsidP="008C5432">
      <w:pPr>
        <w:spacing w:after="0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</w:t>
      </w:r>
      <w:r w:rsidR="005308E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apie paskirtas konsultacija</w:t>
      </w:r>
      <w:r w:rsidR="007B5F98">
        <w:rPr>
          <w:rFonts w:ascii="Times New Roman" w:hAnsi="Times New Roman" w:cs="Times New Roman"/>
          <w:sz w:val="24"/>
          <w:szCs w:val="24"/>
        </w:rPr>
        <w:t xml:space="preserve">s dalyko mokytojas, </w:t>
      </w:r>
      <w:r>
        <w:rPr>
          <w:rFonts w:ascii="Times New Roman" w:hAnsi="Times New Roman" w:cs="Times New Roman"/>
          <w:sz w:val="24"/>
          <w:szCs w:val="24"/>
        </w:rPr>
        <w:t>klasės vadovas informuoja mokinio tėvus.</w:t>
      </w:r>
    </w:p>
    <w:p w:rsidR="005308E2" w:rsidRDefault="00C92D2A" w:rsidP="005308E2">
      <w:pPr>
        <w:pStyle w:val="Betarp"/>
        <w:rPr>
          <w:rStyle w:val="Grietas"/>
          <w:sz w:val="24"/>
          <w:szCs w:val="24"/>
        </w:rPr>
      </w:pPr>
      <w:r>
        <w:rPr>
          <w:rStyle w:val="Grietas"/>
          <w:sz w:val="24"/>
          <w:szCs w:val="24"/>
        </w:rPr>
        <w:t xml:space="preserve">10. Konsultacijos gali </w:t>
      </w:r>
      <w:r w:rsidR="005308E2">
        <w:rPr>
          <w:rStyle w:val="Grietas"/>
          <w:sz w:val="24"/>
          <w:szCs w:val="24"/>
        </w:rPr>
        <w:t>būti trumpalaikės ir ilgalaikės.</w:t>
      </w:r>
    </w:p>
    <w:p w:rsidR="00392054" w:rsidRPr="005308E2" w:rsidRDefault="008C5432" w:rsidP="005308E2">
      <w:pPr>
        <w:pStyle w:val="Betarp"/>
        <w:rPr>
          <w:b w:val="0"/>
          <w:bCs/>
          <w:sz w:val="24"/>
          <w:szCs w:val="24"/>
        </w:rPr>
      </w:pPr>
      <w:r w:rsidRPr="005308E2">
        <w:rPr>
          <w:b w:val="0"/>
          <w:sz w:val="24"/>
          <w:szCs w:val="24"/>
        </w:rPr>
        <w:t xml:space="preserve"> </w:t>
      </w:r>
      <w:r w:rsidR="00C92D2A" w:rsidRPr="005308E2">
        <w:rPr>
          <w:b w:val="0"/>
          <w:sz w:val="24"/>
          <w:szCs w:val="24"/>
        </w:rPr>
        <w:t>11. K</w:t>
      </w:r>
      <w:r w:rsidR="00BB0298" w:rsidRPr="005308E2">
        <w:rPr>
          <w:b w:val="0"/>
          <w:sz w:val="24"/>
          <w:szCs w:val="24"/>
        </w:rPr>
        <w:t>onsultacijų organizavimo priežiūrą vykdo d</w:t>
      </w:r>
      <w:r w:rsidR="00392054" w:rsidRPr="005308E2">
        <w:rPr>
          <w:b w:val="0"/>
          <w:sz w:val="24"/>
          <w:szCs w:val="24"/>
        </w:rPr>
        <w:t>irektoriaus pavaduotoja</w:t>
      </w:r>
      <w:r w:rsidR="007F31C4">
        <w:rPr>
          <w:b w:val="0"/>
          <w:sz w:val="24"/>
          <w:szCs w:val="24"/>
        </w:rPr>
        <w:t>s</w:t>
      </w:r>
      <w:r w:rsidR="00392054" w:rsidRPr="005308E2">
        <w:rPr>
          <w:b w:val="0"/>
          <w:sz w:val="24"/>
          <w:szCs w:val="24"/>
        </w:rPr>
        <w:t xml:space="preserve"> ugdymui.</w:t>
      </w:r>
      <w:r w:rsidR="00BB0298" w:rsidRPr="005308E2">
        <w:rPr>
          <w:b w:val="0"/>
          <w:sz w:val="24"/>
          <w:szCs w:val="24"/>
        </w:rPr>
        <w:t xml:space="preserve"> </w:t>
      </w:r>
    </w:p>
    <w:p w:rsidR="00392054" w:rsidRDefault="008C5432" w:rsidP="008C5432">
      <w:pPr>
        <w:tabs>
          <w:tab w:val="left" w:pos="2310"/>
        </w:tabs>
        <w:spacing w:after="0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2054" w:rsidRPr="008C5432" w:rsidRDefault="00BB0298" w:rsidP="00392054">
      <w:pPr>
        <w:spacing w:after="0" w:line="31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432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392054" w:rsidRDefault="00BB0298" w:rsidP="00392054">
      <w:pPr>
        <w:spacing w:after="0" w:line="31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432">
        <w:rPr>
          <w:rFonts w:ascii="Times New Roman" w:hAnsi="Times New Roman" w:cs="Times New Roman"/>
          <w:b/>
          <w:sz w:val="24"/>
          <w:szCs w:val="24"/>
        </w:rPr>
        <w:t>KONSULTACIJŲ FIKSAVIMAS</w:t>
      </w:r>
    </w:p>
    <w:p w:rsidR="005308E2" w:rsidRPr="008C5432" w:rsidRDefault="005308E2" w:rsidP="00392054">
      <w:pPr>
        <w:spacing w:after="0" w:line="31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8E2" w:rsidRDefault="005308E2" w:rsidP="005308E2">
      <w:pPr>
        <w:pStyle w:val="Betarp"/>
        <w:rPr>
          <w:rStyle w:val="Grietas"/>
          <w:sz w:val="24"/>
          <w:szCs w:val="24"/>
        </w:rPr>
      </w:pPr>
      <w:r>
        <w:rPr>
          <w:rStyle w:val="Grietas"/>
          <w:sz w:val="24"/>
          <w:szCs w:val="24"/>
        </w:rPr>
        <w:t xml:space="preserve">  10. Ilgalaikių  konsultacijų valandos tarifikuojamos į mokytojo darbo krūvį, apskaita pildoma TAMO dienyne.</w:t>
      </w:r>
    </w:p>
    <w:p w:rsidR="00C92D2A" w:rsidRPr="00F82750" w:rsidRDefault="005308E2" w:rsidP="00C92D2A">
      <w:pPr>
        <w:pStyle w:val="Betarp"/>
        <w:rPr>
          <w:rStyle w:val="Grietas"/>
          <w:sz w:val="24"/>
          <w:szCs w:val="24"/>
        </w:rPr>
      </w:pPr>
      <w:r>
        <w:rPr>
          <w:rStyle w:val="Grietas"/>
          <w:sz w:val="24"/>
          <w:szCs w:val="24"/>
        </w:rPr>
        <w:t xml:space="preserve">  11. Trumpalaikės  konsultacijos </w:t>
      </w:r>
      <w:r w:rsidR="00C92D2A" w:rsidRPr="00B00C4D">
        <w:rPr>
          <w:rStyle w:val="Grietas"/>
          <w:sz w:val="24"/>
          <w:szCs w:val="24"/>
        </w:rPr>
        <w:t>veikla mokiniams fiksuojama konsultacijų organizavimo apskaitos lapu</w:t>
      </w:r>
      <w:r w:rsidR="00C92D2A">
        <w:rPr>
          <w:rStyle w:val="Grietas"/>
          <w:sz w:val="24"/>
          <w:szCs w:val="24"/>
        </w:rPr>
        <w:t xml:space="preserve">ose. </w:t>
      </w:r>
      <w:r w:rsidR="00C92D2A" w:rsidRPr="00B00C4D">
        <w:rPr>
          <w:rStyle w:val="Grietas"/>
          <w:sz w:val="24"/>
          <w:szCs w:val="24"/>
        </w:rPr>
        <w:t>(1 priedas).</w:t>
      </w:r>
      <w:r w:rsidR="00C92D2A" w:rsidRPr="00B00C4D">
        <w:rPr>
          <w:rStyle w:val="Grietas"/>
          <w:rFonts w:eastAsia="Calibri"/>
          <w:sz w:val="24"/>
          <w:szCs w:val="24"/>
        </w:rPr>
        <w:t xml:space="preserve">  </w:t>
      </w:r>
    </w:p>
    <w:p w:rsidR="00392054" w:rsidRDefault="005308E2" w:rsidP="008C5432">
      <w:pPr>
        <w:spacing w:after="0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Dalykų mokytojai </w:t>
      </w:r>
      <w:r w:rsidR="00BB0298" w:rsidRPr="00392054">
        <w:rPr>
          <w:rFonts w:ascii="Times New Roman" w:hAnsi="Times New Roman" w:cs="Times New Roman"/>
          <w:sz w:val="24"/>
          <w:szCs w:val="24"/>
        </w:rPr>
        <w:t xml:space="preserve"> už </w:t>
      </w:r>
      <w:r>
        <w:rPr>
          <w:rFonts w:ascii="Times New Roman" w:hAnsi="Times New Roman" w:cs="Times New Roman"/>
          <w:sz w:val="24"/>
          <w:szCs w:val="24"/>
        </w:rPr>
        <w:t xml:space="preserve">trumpalaikių </w:t>
      </w:r>
      <w:r w:rsidR="00BB0298" w:rsidRPr="00392054">
        <w:rPr>
          <w:rFonts w:ascii="Times New Roman" w:hAnsi="Times New Roman" w:cs="Times New Roman"/>
          <w:sz w:val="24"/>
          <w:szCs w:val="24"/>
        </w:rPr>
        <w:t xml:space="preserve">konsultacijų organizavimą bei savalaikį atsiskaitymą direktoriaus pavaduotojui ugdymui </w:t>
      </w:r>
      <w:r w:rsidR="00A6521F">
        <w:rPr>
          <w:rFonts w:ascii="Times New Roman" w:hAnsi="Times New Roman" w:cs="Times New Roman"/>
          <w:sz w:val="24"/>
          <w:szCs w:val="24"/>
        </w:rPr>
        <w:t xml:space="preserve">pateikia 1 priedo užpildytą lentelę </w:t>
      </w:r>
      <w:r w:rsidR="00BB0298" w:rsidRPr="00392054">
        <w:rPr>
          <w:rFonts w:ascii="Times New Roman" w:hAnsi="Times New Roman" w:cs="Times New Roman"/>
          <w:sz w:val="24"/>
          <w:szCs w:val="24"/>
        </w:rPr>
        <w:t xml:space="preserve">iki einamojo mėnesio paskutinės darbo dienos. </w:t>
      </w:r>
    </w:p>
    <w:p w:rsidR="00392054" w:rsidRDefault="00392054" w:rsidP="008C5432">
      <w:pPr>
        <w:spacing w:after="0" w:line="31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92054" w:rsidRPr="00392054" w:rsidRDefault="00BB0298" w:rsidP="00392054">
      <w:pPr>
        <w:spacing w:after="0" w:line="31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054">
        <w:rPr>
          <w:rFonts w:ascii="Times New Roman" w:hAnsi="Times New Roman" w:cs="Times New Roman"/>
          <w:b/>
          <w:sz w:val="24"/>
          <w:szCs w:val="24"/>
        </w:rPr>
        <w:t>V SKYRIUS</w:t>
      </w:r>
    </w:p>
    <w:p w:rsidR="00392054" w:rsidRDefault="00BB0298" w:rsidP="00392054">
      <w:pPr>
        <w:spacing w:after="0" w:line="31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054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392054" w:rsidRPr="00392054" w:rsidRDefault="00392054" w:rsidP="00392054">
      <w:pPr>
        <w:spacing w:after="0" w:line="31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054" w:rsidRDefault="005308E2" w:rsidP="008C5432">
      <w:pPr>
        <w:spacing w:after="0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BB0298" w:rsidRPr="00392054">
        <w:rPr>
          <w:rFonts w:ascii="Times New Roman" w:hAnsi="Times New Roman" w:cs="Times New Roman"/>
          <w:sz w:val="24"/>
          <w:szCs w:val="24"/>
        </w:rPr>
        <w:t xml:space="preserve">. Aprašas tvirtinamas direktoriaus įsakymu. </w:t>
      </w:r>
    </w:p>
    <w:p w:rsidR="00392054" w:rsidRDefault="005308E2" w:rsidP="008C5432">
      <w:pPr>
        <w:spacing w:after="0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B0298" w:rsidRPr="00392054">
        <w:rPr>
          <w:rFonts w:ascii="Times New Roman" w:hAnsi="Times New Roman" w:cs="Times New Roman"/>
          <w:sz w:val="24"/>
          <w:szCs w:val="24"/>
        </w:rPr>
        <w:t xml:space="preserve">. Aprašas gali būti keičiamas, pasikeitus teisės aktams. </w:t>
      </w:r>
    </w:p>
    <w:p w:rsidR="00BB0298" w:rsidRDefault="00392054" w:rsidP="00392054">
      <w:pPr>
        <w:spacing w:after="0" w:line="31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B0298" w:rsidRPr="00392054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6521F" w:rsidRDefault="00A6521F" w:rsidP="00A6521F">
      <w:pPr>
        <w:spacing w:after="0" w:line="31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A6521F" w:rsidRDefault="00A6521F" w:rsidP="00A6521F">
      <w:pPr>
        <w:spacing w:after="0" w:line="312" w:lineRule="atLeast"/>
        <w:rPr>
          <w:rFonts w:ascii="Times New Roman" w:hAnsi="Times New Roman" w:cs="Times New Roman"/>
          <w:sz w:val="24"/>
          <w:szCs w:val="24"/>
        </w:rPr>
      </w:pPr>
    </w:p>
    <w:p w:rsidR="00A6521F" w:rsidRDefault="00A6521F" w:rsidP="00A6521F">
      <w:pPr>
        <w:spacing w:after="0" w:line="312" w:lineRule="atLeast"/>
        <w:rPr>
          <w:rFonts w:ascii="Times New Roman" w:hAnsi="Times New Roman" w:cs="Times New Roman"/>
          <w:sz w:val="24"/>
          <w:szCs w:val="24"/>
        </w:rPr>
      </w:pPr>
    </w:p>
    <w:p w:rsidR="00A6521F" w:rsidRDefault="00A6521F" w:rsidP="00A6521F">
      <w:pPr>
        <w:spacing w:after="0" w:line="312" w:lineRule="atLeast"/>
        <w:rPr>
          <w:rFonts w:ascii="Times New Roman" w:hAnsi="Times New Roman" w:cs="Times New Roman"/>
          <w:sz w:val="24"/>
          <w:szCs w:val="24"/>
        </w:rPr>
      </w:pPr>
    </w:p>
    <w:p w:rsidR="00A6521F" w:rsidRDefault="00A6521F" w:rsidP="00A6521F">
      <w:pPr>
        <w:spacing w:after="0" w:line="312" w:lineRule="atLeast"/>
        <w:rPr>
          <w:rFonts w:ascii="Times New Roman" w:hAnsi="Times New Roman" w:cs="Times New Roman"/>
          <w:sz w:val="24"/>
          <w:szCs w:val="24"/>
        </w:rPr>
      </w:pPr>
    </w:p>
    <w:p w:rsidR="00A6521F" w:rsidRDefault="00A6521F" w:rsidP="00A6521F">
      <w:pPr>
        <w:spacing w:after="0" w:line="312" w:lineRule="atLeast"/>
        <w:rPr>
          <w:rFonts w:ascii="Times New Roman" w:hAnsi="Times New Roman" w:cs="Times New Roman"/>
          <w:sz w:val="24"/>
          <w:szCs w:val="24"/>
        </w:rPr>
      </w:pPr>
    </w:p>
    <w:p w:rsidR="00A6521F" w:rsidRDefault="00A6521F" w:rsidP="00A6521F">
      <w:pPr>
        <w:spacing w:after="0" w:line="312" w:lineRule="atLeast"/>
        <w:rPr>
          <w:rFonts w:ascii="Times New Roman" w:hAnsi="Times New Roman" w:cs="Times New Roman"/>
          <w:sz w:val="24"/>
          <w:szCs w:val="24"/>
        </w:rPr>
      </w:pPr>
    </w:p>
    <w:p w:rsidR="00A6521F" w:rsidRDefault="00A6521F" w:rsidP="00A6521F">
      <w:pPr>
        <w:spacing w:after="0" w:line="312" w:lineRule="atLeast"/>
        <w:rPr>
          <w:rFonts w:ascii="Times New Roman" w:hAnsi="Times New Roman" w:cs="Times New Roman"/>
          <w:sz w:val="24"/>
          <w:szCs w:val="24"/>
        </w:rPr>
      </w:pPr>
    </w:p>
    <w:p w:rsidR="00A6521F" w:rsidRDefault="00A6521F" w:rsidP="00A6521F">
      <w:pPr>
        <w:spacing w:after="0" w:line="312" w:lineRule="atLeast"/>
        <w:rPr>
          <w:rFonts w:ascii="Times New Roman" w:hAnsi="Times New Roman" w:cs="Times New Roman"/>
          <w:sz w:val="24"/>
          <w:szCs w:val="24"/>
        </w:rPr>
      </w:pPr>
    </w:p>
    <w:p w:rsidR="00A6521F" w:rsidRDefault="00A6521F" w:rsidP="00A6521F">
      <w:pPr>
        <w:spacing w:after="0" w:line="312" w:lineRule="atLeast"/>
        <w:rPr>
          <w:rFonts w:ascii="Times New Roman" w:hAnsi="Times New Roman" w:cs="Times New Roman"/>
          <w:sz w:val="24"/>
          <w:szCs w:val="24"/>
        </w:rPr>
      </w:pPr>
    </w:p>
    <w:p w:rsidR="00A6521F" w:rsidRPr="00A6521F" w:rsidRDefault="00A6521F" w:rsidP="00A6521F">
      <w:pPr>
        <w:spacing w:after="0" w:line="312" w:lineRule="atLeast"/>
        <w:rPr>
          <w:rFonts w:ascii="Times New Roman" w:hAnsi="Times New Roman" w:cs="Times New Roman"/>
          <w:sz w:val="24"/>
          <w:szCs w:val="24"/>
        </w:rPr>
      </w:pPr>
      <w:r w:rsidRPr="00A6521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</w:p>
    <w:p w:rsidR="00A6521F" w:rsidRPr="00A6521F" w:rsidRDefault="00A6521F" w:rsidP="00A6521F">
      <w:pPr>
        <w:spacing w:after="0" w:line="31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</w:t>
      </w:r>
      <w:r w:rsidRPr="00A6521F">
        <w:rPr>
          <w:rFonts w:ascii="Times New Roman" w:eastAsia="Calibri" w:hAnsi="Times New Roman" w:cs="Times New Roman"/>
          <w:bCs/>
          <w:sz w:val="24"/>
          <w:szCs w:val="24"/>
        </w:rPr>
        <w:t>SEDOS VYTAUTO MAČERNIO GIMNAZIJOS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1 Priedas</w:t>
      </w:r>
    </w:p>
    <w:p w:rsidR="00A6521F" w:rsidRPr="00A6521F" w:rsidRDefault="00A6521F" w:rsidP="00A6521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6521F">
        <w:rPr>
          <w:rFonts w:ascii="Times New Roman" w:eastAsia="Calibri" w:hAnsi="Times New Roman" w:cs="Times New Roman"/>
          <w:bCs/>
          <w:sz w:val="24"/>
          <w:szCs w:val="24"/>
        </w:rPr>
        <w:t>KONSULTACIJŲ APSKAITOS LAPAS</w:t>
      </w:r>
    </w:p>
    <w:p w:rsidR="00A6521F" w:rsidRPr="00A6521F" w:rsidRDefault="00A6521F" w:rsidP="00A6521F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521F" w:rsidRPr="00A6521F" w:rsidRDefault="00A6521F" w:rsidP="00A6521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6521F">
        <w:rPr>
          <w:rFonts w:ascii="Times New Roman" w:eastAsia="Calibri" w:hAnsi="Times New Roman" w:cs="Times New Roman"/>
          <w:sz w:val="24"/>
          <w:szCs w:val="24"/>
        </w:rPr>
        <w:t>Mokytojo vardas, pavardė</w:t>
      </w:r>
      <w:r w:rsidR="008C54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521F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dėstomas dalykas_________</w:t>
      </w:r>
    </w:p>
    <w:p w:rsidR="00A6521F" w:rsidRPr="00A6521F" w:rsidRDefault="00A6521F" w:rsidP="00A6521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6521F">
        <w:rPr>
          <w:rFonts w:ascii="Times New Roman" w:eastAsia="Calibri" w:hAnsi="Times New Roman" w:cs="Times New Roman"/>
          <w:sz w:val="24"/>
          <w:szCs w:val="24"/>
        </w:rPr>
        <w:t>Už</w:t>
      </w:r>
      <w:r>
        <w:rPr>
          <w:rFonts w:ascii="Times New Roman" w:eastAsia="Calibri" w:hAnsi="Times New Roman" w:cs="Times New Roman"/>
          <w:sz w:val="24"/>
          <w:szCs w:val="24"/>
        </w:rPr>
        <w:t xml:space="preserve">siėmimo </w:t>
      </w:r>
      <w:r w:rsidRPr="00A6521F">
        <w:rPr>
          <w:rFonts w:ascii="Times New Roman" w:eastAsia="Calibri" w:hAnsi="Times New Roman" w:cs="Times New Roman"/>
          <w:sz w:val="24"/>
          <w:szCs w:val="24"/>
        </w:rPr>
        <w:t>data___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A6521F">
        <w:rPr>
          <w:rFonts w:ascii="Times New Roman" w:eastAsia="Calibri" w:hAnsi="Times New Roman" w:cs="Times New Roman"/>
          <w:sz w:val="24"/>
          <w:szCs w:val="24"/>
        </w:rPr>
        <w:t>laikas__________________vieta_________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A6521F" w:rsidRPr="00A6521F" w:rsidRDefault="00A6521F" w:rsidP="00A6521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6521F">
        <w:rPr>
          <w:rFonts w:ascii="Times New Roman" w:eastAsia="Calibri" w:hAnsi="Times New Roman" w:cs="Times New Roman"/>
          <w:sz w:val="24"/>
          <w:szCs w:val="24"/>
        </w:rPr>
        <w:t>Suderinta _______________________________________________________________________</w:t>
      </w:r>
    </w:p>
    <w:p w:rsidR="00A6521F" w:rsidRPr="00A6521F" w:rsidRDefault="00A6521F" w:rsidP="00A6521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6521F">
        <w:rPr>
          <w:rFonts w:ascii="Times New Roman" w:eastAsia="Calibri" w:hAnsi="Times New Roman" w:cs="Times New Roman"/>
          <w:sz w:val="24"/>
          <w:szCs w:val="24"/>
        </w:rPr>
        <w:t xml:space="preserve">                         (kuruojančio vadovo v. pavardė, parašas)</w:t>
      </w:r>
    </w:p>
    <w:p w:rsidR="00A6521F" w:rsidRPr="00A6521F" w:rsidRDefault="00A6521F" w:rsidP="00A6521F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073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862"/>
        <w:gridCol w:w="822"/>
        <w:gridCol w:w="3260"/>
        <w:gridCol w:w="425"/>
        <w:gridCol w:w="425"/>
        <w:gridCol w:w="426"/>
        <w:gridCol w:w="425"/>
        <w:gridCol w:w="425"/>
        <w:gridCol w:w="1099"/>
      </w:tblGrid>
      <w:tr w:rsidR="00A6521F" w:rsidRPr="00A6521F" w:rsidTr="00A6521F">
        <w:tc>
          <w:tcPr>
            <w:tcW w:w="570" w:type="dxa"/>
            <w:vMerge w:val="restart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52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6944" w:type="dxa"/>
            <w:gridSpan w:val="3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52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Data</w:t>
            </w:r>
          </w:p>
        </w:tc>
        <w:tc>
          <w:tcPr>
            <w:tcW w:w="425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6521F" w:rsidRPr="00A6521F" w:rsidTr="00A6521F">
        <w:tc>
          <w:tcPr>
            <w:tcW w:w="570" w:type="dxa"/>
            <w:vMerge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52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Mokinio vardas, pavardė</w:t>
            </w:r>
          </w:p>
        </w:tc>
        <w:tc>
          <w:tcPr>
            <w:tcW w:w="822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52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Klasė</w:t>
            </w:r>
          </w:p>
        </w:tc>
        <w:tc>
          <w:tcPr>
            <w:tcW w:w="3260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52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Konsultacijos paskirtis</w:t>
            </w:r>
          </w:p>
        </w:tc>
        <w:tc>
          <w:tcPr>
            <w:tcW w:w="425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52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Mokinio parašas</w:t>
            </w:r>
          </w:p>
        </w:tc>
      </w:tr>
      <w:tr w:rsidR="00A6521F" w:rsidRPr="00A6521F" w:rsidTr="00A6521F">
        <w:tc>
          <w:tcPr>
            <w:tcW w:w="570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6521F" w:rsidRPr="00A6521F" w:rsidTr="00A6521F">
        <w:tc>
          <w:tcPr>
            <w:tcW w:w="570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6521F" w:rsidRPr="00A6521F" w:rsidTr="00A6521F">
        <w:tc>
          <w:tcPr>
            <w:tcW w:w="570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6521F" w:rsidRPr="00A6521F" w:rsidTr="00A6521F">
        <w:tc>
          <w:tcPr>
            <w:tcW w:w="570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6521F" w:rsidRPr="00A6521F" w:rsidTr="00A6521F">
        <w:tc>
          <w:tcPr>
            <w:tcW w:w="570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6521F" w:rsidRPr="00A6521F" w:rsidTr="00A6521F">
        <w:tc>
          <w:tcPr>
            <w:tcW w:w="570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6521F" w:rsidRPr="00A6521F" w:rsidTr="00A6521F">
        <w:tc>
          <w:tcPr>
            <w:tcW w:w="570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6521F" w:rsidRPr="00A6521F" w:rsidTr="00A6521F">
        <w:tc>
          <w:tcPr>
            <w:tcW w:w="570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6521F" w:rsidRPr="00A6521F" w:rsidTr="00A6521F">
        <w:tc>
          <w:tcPr>
            <w:tcW w:w="570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6521F" w:rsidRPr="00A6521F" w:rsidTr="00A6521F">
        <w:tc>
          <w:tcPr>
            <w:tcW w:w="570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6521F" w:rsidRPr="00A6521F" w:rsidTr="00A6521F">
        <w:tc>
          <w:tcPr>
            <w:tcW w:w="570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6521F" w:rsidRPr="00A6521F" w:rsidTr="00A6521F">
        <w:tc>
          <w:tcPr>
            <w:tcW w:w="570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A6521F" w:rsidRPr="00A6521F" w:rsidRDefault="00A6521F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E5E58" w:rsidRPr="00A6521F" w:rsidTr="00A6521F">
        <w:tc>
          <w:tcPr>
            <w:tcW w:w="570" w:type="dxa"/>
            <w:shd w:val="clear" w:color="auto" w:fill="auto"/>
          </w:tcPr>
          <w:p w:rsidR="00FE5E58" w:rsidRPr="00A6521F" w:rsidRDefault="00FE5E58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:rsidR="00FE5E58" w:rsidRPr="00A6521F" w:rsidRDefault="00FE5E58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E5E58" w:rsidRPr="00A6521F" w:rsidRDefault="00FE5E58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E5E58" w:rsidRPr="00A6521F" w:rsidRDefault="00FE5E58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E5E58" w:rsidRPr="00A6521F" w:rsidRDefault="00FE5E58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E5E58" w:rsidRPr="00A6521F" w:rsidRDefault="00FE5E58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FE5E58" w:rsidRPr="00A6521F" w:rsidRDefault="00FE5E58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E5E58" w:rsidRPr="00A6521F" w:rsidRDefault="00FE5E58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E5E58" w:rsidRPr="00A6521F" w:rsidRDefault="00FE5E58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FE5E58" w:rsidRPr="00A6521F" w:rsidRDefault="00FE5E58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E5E58" w:rsidRPr="00A6521F" w:rsidTr="00A6521F">
        <w:tc>
          <w:tcPr>
            <w:tcW w:w="570" w:type="dxa"/>
            <w:shd w:val="clear" w:color="auto" w:fill="auto"/>
          </w:tcPr>
          <w:p w:rsidR="00FE5E58" w:rsidRPr="00A6521F" w:rsidRDefault="00FE5E58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:rsidR="00FE5E58" w:rsidRPr="00A6521F" w:rsidRDefault="00FE5E58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FE5E58" w:rsidRPr="00A6521F" w:rsidRDefault="00FE5E58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E5E58" w:rsidRPr="00A6521F" w:rsidRDefault="00FE5E58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E5E58" w:rsidRPr="00A6521F" w:rsidRDefault="00FE5E58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E5E58" w:rsidRPr="00A6521F" w:rsidRDefault="00FE5E58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FE5E58" w:rsidRPr="00A6521F" w:rsidRDefault="00FE5E58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E5E58" w:rsidRPr="00A6521F" w:rsidRDefault="00FE5E58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E5E58" w:rsidRPr="00A6521F" w:rsidRDefault="00FE5E58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FE5E58" w:rsidRPr="00A6521F" w:rsidRDefault="00FE5E58" w:rsidP="00442F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A6521F" w:rsidRPr="00A6521F" w:rsidRDefault="00A6521F" w:rsidP="00A6521F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6521F" w:rsidRPr="00FE5E58" w:rsidRDefault="00A6521F" w:rsidP="00A6521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6521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FE5E58">
        <w:rPr>
          <w:rFonts w:ascii="Times New Roman" w:eastAsia="Calibri" w:hAnsi="Times New Roman" w:cs="Times New Roman"/>
          <w:sz w:val="24"/>
          <w:szCs w:val="24"/>
        </w:rPr>
        <w:t>Mok</w:t>
      </w:r>
      <w:r w:rsidR="008C5432">
        <w:rPr>
          <w:rFonts w:ascii="Times New Roman" w:eastAsia="Calibri" w:hAnsi="Times New Roman" w:cs="Times New Roman"/>
          <w:sz w:val="24"/>
          <w:szCs w:val="24"/>
        </w:rPr>
        <w:t>ytojas_____________________</w:t>
      </w:r>
    </w:p>
    <w:p w:rsidR="00A6521F" w:rsidRPr="00FE5E58" w:rsidRDefault="00A6521F" w:rsidP="00A6521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FE5E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(parašas)</w:t>
      </w:r>
    </w:p>
    <w:p w:rsidR="00A6521F" w:rsidRPr="00A6521F" w:rsidRDefault="00A6521F" w:rsidP="00A6521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6521F" w:rsidRPr="00A6521F" w:rsidRDefault="00A6521F" w:rsidP="00392054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sectPr w:rsidR="00A6521F" w:rsidRPr="00A6521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F50CF3"/>
    <w:multiLevelType w:val="hybridMultilevel"/>
    <w:tmpl w:val="80D033F8"/>
    <w:lvl w:ilvl="0" w:tplc="E750AA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5A"/>
    <w:rsid w:val="00392054"/>
    <w:rsid w:val="005308E2"/>
    <w:rsid w:val="006E468F"/>
    <w:rsid w:val="00782B5A"/>
    <w:rsid w:val="007B5F98"/>
    <w:rsid w:val="007F31C4"/>
    <w:rsid w:val="008C5432"/>
    <w:rsid w:val="00933BB6"/>
    <w:rsid w:val="00A6521F"/>
    <w:rsid w:val="00BB0298"/>
    <w:rsid w:val="00C92D2A"/>
    <w:rsid w:val="00E06FFB"/>
    <w:rsid w:val="00E103DA"/>
    <w:rsid w:val="00F43A57"/>
    <w:rsid w:val="00F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AF28B-8927-4177-ABC8-70DB9CFA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782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qFormat/>
    <w:rsid w:val="00782B5A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2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2B5A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392054"/>
    <w:pPr>
      <w:ind w:left="720"/>
      <w:contextualSpacing/>
    </w:pPr>
  </w:style>
  <w:style w:type="paragraph" w:styleId="Betarp">
    <w:name w:val="No Spacing"/>
    <w:uiPriority w:val="1"/>
    <w:qFormat/>
    <w:rsid w:val="00933BB6"/>
    <w:pPr>
      <w:spacing w:after="0" w:line="240" w:lineRule="auto"/>
    </w:pPr>
    <w:rPr>
      <w:rFonts w:ascii="Times New Roman" w:eastAsia="Times New Roman" w:hAnsi="Times New Roman" w:cs="Times New Roman"/>
      <w:b/>
      <w:noProof/>
      <w:sz w:val="28"/>
      <w:szCs w:val="2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0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93FA1-9644-40F3-9B38-32ECB1A4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3569</Words>
  <Characters>2035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Bruziene</dc:creator>
  <cp:keywords/>
  <dc:description/>
  <cp:lastModifiedBy>Daiva Bruziene</cp:lastModifiedBy>
  <cp:revision>4</cp:revision>
  <cp:lastPrinted>2024-11-12T09:30:00Z</cp:lastPrinted>
  <dcterms:created xsi:type="dcterms:W3CDTF">2024-11-13T06:51:00Z</dcterms:created>
  <dcterms:modified xsi:type="dcterms:W3CDTF">2024-11-19T10:49:00Z</dcterms:modified>
</cp:coreProperties>
</file>